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As soon as practicable following an accident that does not involve the loss of human life but that involves a revenue service vehicle, and in which either (a) an individual suffers bodily injury and immediately receives medical treatment away from the scene, or (b) one or more vehicles incurs disabling damage requiring it to be transported away from the scene by a tow truck or other vehicle, ACTD shall conduct drug and alcohol tests on each covered employee operating the revenue service vehicle at the time of the accident, unless the DER or Compliance Officer determines, using the best information available at the time of the decision, that the covered employee's performance can be completely discounted as a contributing factor to the accident. ACTD shall also test any other covered employee whose performance of a safety-sensitive function cannot be completely discounted as a contributing factor to the accident.</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0.04 g/210L or greater is a positive DOT alcohol test for purposes of 49 CFR Part 655. A confirmed concentration of 0.02 g/210L or greater but less than 0.04 g/210L is not a positive test but requires temporary removal from safety-sensitive duty under § 7.3.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655.61 or § 655.62 (a verified positive test, a confirmed alcohol concentration of 0.04 g/210L or greater, or a refusal to test)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 A covered employee temporarily removed under § 655.35 for a confirmed alcohol concentration of 0.02 g/210L or greater but less than 0.04 g/210L may return to safety-sensitive duty once retested with a result below 0.02 g/210L, consistent with § 655.48, without the Subpart O SAP process.</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/s/ Harlan T. Odegaard</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/s/ Marlene Okonkwo</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/s/ Diane Farkas</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