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6B4A17"/>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6B4A17"/>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6B4A17"/>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6B4A17"/>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6B4A17"/>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6B4A17"/>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6B4A17"/>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6B4A17"/>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6B4A17"/>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6B4A17"/>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6B4A17"/>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6B4A17"/>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6B4A17"/>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6B4A17"/>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Rule 506. DOT Post-Accident Testing — 49 CFR Part 655. Post-accident controlled-substances and alcohol testing shall be conducted in accordance with 49 CFR Part 655 (and the testing procedures of 49 CFR Part 40 incorporated therein). Testing is required upon any accident meeting the Part 655 threshold: an accident involving loss of human life; or an accident involving bodily injury with immediate medical treatment away from the scene, or disabling damage requiring tow-away, in which the operator's performance cannot be completely discounted as a contributing factor, as determined by the District using the best information available at the time.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r>
        <w:rPr>
          <w:rFonts w:ascii="Helvetica" w:hAnsi="Helvetica" w:cs="Helvetica" w:eastAsia="Helvetica"/>
          <w:color w:val="2A2F3A"/>
          <w:sz w:val="21"/>
        </w:rPr>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6B4A17"/>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6B4A17"/>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6B4A17"/>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6B4A17"/>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6B4A17"/>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6B4A17"/>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6B4A17"/>
          <w:sz w:val="20"/>
        </w:rPr>
        <w:t>(b) Failure to complete the Pre-Trip Inspection required by Rule 302;</w:t>
      </w:r>
    </w:p>
    <w:p>
      <w:pPr>
        <w:spacing w:before="40" w:after="80" w:line="276" w:lineRule="auto"/>
        <w:ind w:left="480" w:hanging="240"/>
      </w:pPr>
      <w:r>
        <w:rPr>
          <w:rFonts w:ascii="Helvetica" w:hAnsi="Helvetica" w:cs="Helvetica" w:eastAsia="Helvetica"/>
          <w:b/>
          <w:color w:val="6B4A17"/>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6B4A17"/>
          <w:sz w:val="20"/>
        </w:rPr>
        <w:t>(d) Personal-device use in violation of Rule 305;</w:t>
      </w:r>
    </w:p>
    <w:p>
      <w:pPr>
        <w:spacing w:before="40" w:after="80" w:line="276" w:lineRule="auto"/>
        <w:ind w:left="480" w:hanging="240"/>
      </w:pPr>
      <w:r>
        <w:rPr>
          <w:rFonts w:ascii="Helvetica" w:hAnsi="Helvetica" w:cs="Helvetica" w:eastAsia="Helvetica"/>
          <w:b/>
          <w:color w:val="6B4A17"/>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Priscilla Nakamura</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6B4A17"/>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6B4A17"/>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