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</w:pPr>
    </w:p>
    <w:p>
      <w:pPr>
        <w:pStyle w:val="Kicker"/>
        <w:jc w:val="left"/>
      </w:pPr>
      <w:r>
        <w:t>中国软件杯 A3 · 参赛配套文档</w:t>
      </w:r>
    </w:p>
    <w:p>
      <w:pPr>
        <w:pStyle w:val="DocTitle"/>
      </w:pPr>
      <w:r>
        <w:t>ForgeNote 系统开发说明书</w:t>
      </w:r>
    </w:p>
    <w:p>
      <w:pPr>
        <w:pStyle w:val="DocSubtitle"/>
      </w:pPr>
      <w:r>
        <w:t>基于大模型的个性化资源生成与学习多智能体系统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4E2"/>
          <w:left w:val="single" w:sz="6" w:color="C9D4E2"/>
          <w:bottom w:val="single" w:sz="6" w:color="C9D4E2"/>
          <w:right w:val="single" w:sz="6" w:color="C9D4E2"/>
          <w:insideH w:val="single" w:sz="6" w:color="C9D4E2"/>
          <w:insideV w:val="single" w:sz="6" w:color="C9D4E2"/>
        </w:tblBorders>
      </w:tblPr>
      <w:tblGrid>
        <w:gridCol w:w="1900"/>
        <w:gridCol w:w="7460"/>
      </w:tblGrid>
      <w:t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827"/>
                <w:sz w:val="19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827"/>
                <w:sz w:val="19"/>
              </w:rPr>
              <w:t>ForgeNote（智学工坊）个性化学习多智能体系统</w:t>
            </w:r>
          </w:p>
        </w:tc>
      </w:tr>
      <w:t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827"/>
                <w:sz w:val="19"/>
              </w:rPr>
              <w:t>文档类型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827"/>
                <w:sz w:val="19"/>
              </w:rPr>
              <w:t>系统开发说明书</w:t>
            </w:r>
          </w:p>
        </w:tc>
      </w:tr>
      <w:t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827"/>
                <w:sz w:val="19"/>
              </w:rPr>
              <w:t>版本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827"/>
                <w:sz w:val="19"/>
              </w:rPr>
              <w:t>V2.0（重点重构版）</w:t>
            </w:r>
          </w:p>
        </w:tc>
      </w:tr>
      <w:t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827"/>
                <w:sz w:val="19"/>
              </w:rPr>
              <w:t>编制日期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827"/>
                <w:sz w:val="19"/>
              </w:rPr>
              <w:t>2026 年 7 月 19 日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6E0EC"/>
          <w:left w:val="single" w:sz="5" w:color="D6E0EC"/>
          <w:bottom w:val="single" w:sz="5" w:color="D6E0EC"/>
          <w:right w:val="single" w:sz="5" w:color="D6E0EC"/>
          <w:insideH w:val="single" w:sz="5" w:color="D6E0EC"/>
          <w:insideV w:val="single" w:sz="5" w:color="D6E0EC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核心结论｜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项目的核心创新不是叠加一个通用聊天框，而是把学习画像、课程结构、来源搜集、多模态生成、练习、路径、辅导、评估和安全校验拆成 9 个可观测角色，在同一学习记录中形成可追溯、可反馈、可持续更新的闭环。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文档摘要</w:t>
      </w:r>
    </w:p>
    <w:p>
      <w:r>
        <w:rPr>
          <w:rFonts w:ascii="Calibri" w:hAnsi="Calibri" w:eastAsia="Microsoft YaHei"/>
        </w:rPr>
        <w:t>ForgeNote 面向高校课程自主学习场景，基于 Open Notebook 的资料、笔记与 RAG 底座进行赛题化二次开发。系统把被动的资料问答升级为主动学习工作台：学生通过自然语言表达背景与目标，系统维护动态画像，由多角色智能体协同完成资料搜集、资源生成、练习、路径规划、即时辅导、效果评估与安全检查。</w:t>
      </w:r>
    </w:p>
    <w:p>
      <w:r>
        <w:rPr>
          <w:rFonts w:ascii="Calibri" w:hAnsi="Calibri" w:eastAsia="Microsoft YaHei"/>
        </w:rPr>
        <w:t>本说明书以当前仓库代码和 2026 年 7 月 19 日实测结果为依据。重点展开 4 项创新：画像即来源（Profile-as-Source）、9 角色模式路由、来源约束的多模态资产流水线、长任务可观测与防幻觉阻断。</w:t>
      </w:r>
    </w:p>
    <w:p>
      <w:pPr>
        <w:pStyle w:val="Heading2"/>
      </w:pPr>
      <w:r>
        <w:t>赛题要求与实现对照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4E2"/>
          <w:left w:val="single" w:sz="6" w:color="C9D4E2"/>
          <w:bottom w:val="single" w:sz="6" w:color="C9D4E2"/>
          <w:right w:val="single" w:sz="6" w:color="C9D4E2"/>
          <w:insideH w:val="single" w:sz="6" w:color="C9D4E2"/>
          <w:insideV w:val="single" w:sz="6" w:color="C9D4E2"/>
        </w:tblBorders>
      </w:tblPr>
      <w:tblGrid>
        <w:gridCol w:w="2200"/>
        <w:gridCol w:w="3900"/>
        <w:gridCol w:w="32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官方核心要求</w:t>
            </w:r>
          </w:p>
        </w:tc>
        <w:tc>
          <w:tcPr>
            <w:tcW w:type="dxa" w:w="3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ForgeNote 落地</w:t>
            </w:r>
          </w:p>
        </w:tc>
        <w:tc>
          <w:tcPr>
            <w:tcW w:type="dxa" w:w="3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可核验实现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对话式画像 ≥6 维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6 个显式维度 + 稳定画像 + 最近学习信号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LearningProfileDimension；画像事件接口</w:t>
            </w:r>
          </w:p>
        </w:tc>
      </w:tr>
      <w:tr>
        <w:tc>
          <w:tcPr>
            <w:tcW w:type="dxa" w:w="22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多智能体架构</w:t>
            </w:r>
          </w:p>
        </w:tc>
        <w:tc>
          <w:tcPr>
            <w:tcW w:type="dxa" w:w="39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9 个职责角色，按 chat / collect / generate 模式路由</w:t>
            </w:r>
          </w:p>
        </w:tc>
        <w:tc>
          <w:tcPr>
            <w:tcW w:type="dxa" w:w="32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AGENT_BLUEPRINTS；SSE stage trace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至少 5 类资源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7 类直接编排资产 + 独立播客音频管线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requested_outputs；PodcastService</w:t>
            </w:r>
          </w:p>
        </w:tc>
      </w:tr>
      <w:tr>
        <w:tc>
          <w:tcPr>
            <w:tcW w:type="dxa" w:w="22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动态学习路径</w:t>
            </w:r>
          </w:p>
        </w:tc>
        <w:tc>
          <w:tcPr>
            <w:tcW w:type="dxa" w:w="39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4 阶段路径，含目标、活动、资源与检查点</w:t>
            </w:r>
          </w:p>
        </w:tc>
        <w:tc>
          <w:tcPr>
            <w:tcW w:type="dxa" w:w="32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LearningPathStep；评估与下一步调整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防幻觉与内容安全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来源优先、空来源硬阻断、结构校验、安全报告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source context；safety_report</w:t>
            </w:r>
          </w:p>
        </w:tc>
      </w:tr>
      <w:tr>
        <w:tc>
          <w:tcPr>
            <w:tcW w:type="dxa" w:w="22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进度追踪</w:t>
            </w:r>
          </w:p>
        </w:tc>
        <w:tc>
          <w:tcPr>
            <w:tcW w:type="dxa" w:w="39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SSE 智能体阶段 + command job 状态/日志</w:t>
            </w:r>
          </w:p>
        </w:tc>
        <w:tc>
          <w:tcPr>
            <w:tcW w:type="dxa" w:w="32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/orchestrate/stream；任务浮窗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需求理解与系统定位</w:t>
      </w:r>
    </w:p>
    <w:p>
      <w:pPr>
        <w:pStyle w:val="Heading2"/>
      </w:pPr>
      <w:r>
        <w:t>1.1 高校自主学习的核心矛盾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4E2"/>
          <w:left w:val="single" w:sz="6" w:color="C9D4E2"/>
          <w:bottom w:val="single" w:sz="6" w:color="C9D4E2"/>
          <w:right w:val="single" w:sz="6" w:color="C9D4E2"/>
          <w:insideH w:val="single" w:sz="6" w:color="C9D4E2"/>
          <w:insideV w:val="single" w:sz="6" w:color="C9D4E2"/>
        </w:tblBorders>
      </w:tblPr>
      <w:tblGrid>
        <w:gridCol w:w="2200"/>
        <w:gridCol w:w="2800"/>
        <w:gridCol w:w="43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学生痛点</w:t>
            </w:r>
          </w:p>
        </w:tc>
        <w:tc>
          <w:tcPr>
            <w:tcW w:type="dxa" w:w="2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直接影响</w:t>
            </w:r>
          </w:p>
        </w:tc>
        <w:tc>
          <w:tcPr>
            <w:tcW w:type="dxa" w:w="4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系统响应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资料散乱、质量不一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检索成本高，无法判断先学什么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统一学习记录；资源搜集智能体评分、去重并保留采纳权</w:t>
            </w:r>
          </w:p>
        </w:tc>
      </w:tr>
      <w:tr>
        <w:tc>
          <w:tcPr>
            <w:tcW w:type="dxa" w:w="22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基础与目标差异大</w:t>
            </w:r>
          </w:p>
        </w:tc>
        <w:tc>
          <w:tcPr>
            <w:tcW w:type="dxa" w:w="28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统一讲解与练习无法适配</w:t>
            </w:r>
          </w:p>
        </w:tc>
        <w:tc>
          <w:tcPr>
            <w:tcW w:type="dxa" w:w="43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自然语言画像；生成内容使用专业、目标、历史与偏好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生成内容难核验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大模型可能脱离课程资料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优先使用已接受来源；引用可见；来源正文缺失时不生成</w:t>
            </w:r>
          </w:p>
        </w:tc>
      </w:tr>
      <w:tr>
        <w:tc>
          <w:tcPr>
            <w:tcW w:type="dxa" w:w="22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长任务等待不透明</w:t>
            </w:r>
          </w:p>
        </w:tc>
        <w:tc>
          <w:tcPr>
            <w:tcW w:type="dxa" w:w="28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学生误以为系统卡死</w:t>
            </w:r>
          </w:p>
        </w:tc>
        <w:tc>
          <w:tcPr>
            <w:tcW w:type="dxa" w:w="43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SSE 显示智能体阶段；后台任务浮窗显示队列、日志与结果</w:t>
            </w:r>
          </w:p>
        </w:tc>
      </w:tr>
    </w:tbl>
    <w:p>
      <w:pPr>
        <w:spacing w:after="40"/>
      </w:pPr>
    </w:p>
    <w:p>
      <w:pPr>
        <w:pStyle w:val="Heading2"/>
      </w:pPr>
      <w:r>
        <w:t>1.2 产品定位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6E0EC"/>
          <w:left w:val="single" w:sz="5" w:color="D6E0EC"/>
          <w:bottom w:val="single" w:sz="5" w:color="D6E0EC"/>
          <w:right w:val="single" w:sz="5" w:color="D6E0EC"/>
          <w:insideH w:val="single" w:sz="5" w:color="D6E0EC"/>
          <w:insideV w:val="single" w:sz="5" w:color="D6E0EC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563EB"/>
                <w:sz w:val="21"/>
              </w:rPr>
              <w:t>定位｜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一个围绕课程资料运行的主动学习系统，而不是无边界的通用 AI 助手。</w:t>
            </w:r>
          </w:p>
        </w:tc>
      </w:tr>
    </w:tbl>
    <w:p>
      <w:pPr>
        <w:spacing w:after="40"/>
      </w:pP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输入侧：课程资料、网页、文本、笔记、播客字幕、学生目标与学习历史。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理解侧：RAG、语义索引、学习画像和资源质量判断。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行动侧：讲解、测验、闪卡、思维导图、拓展阅读、代码实验、图片与播客。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</w:rPr>
        <w:t>反馈侧：错题本、学习曲线、画像更新、路径调整和安全提示。</w:t>
      </w:r>
    </w:p>
    <w:p>
      <w:pPr>
        <w:pStyle w:val="Heading1"/>
      </w:pPr>
      <w:r>
        <w:t>2. 创新设计</w:t>
      </w:r>
    </w:p>
    <w:p>
      <w:pPr>
        <w:pStyle w:val="Heading2"/>
      </w:pPr>
      <w:r>
        <w:t>2.1 创新一：画像即来源（Profile-as-Source）</w:t>
      </w:r>
    </w:p>
    <w:p>
      <w:r>
        <w:rPr>
          <w:rFonts w:ascii="Calibri" w:hAnsi="Calibri" w:eastAsia="Microsoft YaHei"/>
        </w:rPr>
        <w:t>传统系统把画像放在一次性表单或孤立用户表中。ForgeNote 将“学习画像”保存为学习记录内可查看、可编辑、可检索的特殊 Source。画像与课程资料共享 notebook 上下文，既能参与个性化，也允许学生主动修正模型假设。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4E2"/>
          <w:left w:val="single" w:sz="6" w:color="C9D4E2"/>
          <w:bottom w:val="single" w:sz="6" w:color="C9D4E2"/>
          <w:right w:val="single" w:sz="6" w:color="C9D4E2"/>
          <w:insideH w:val="single" w:sz="6" w:color="C9D4E2"/>
          <w:insideV w:val="single" w:sz="6" w:color="C9D4E2"/>
        </w:tblBorders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画像维度</w:t>
            </w:r>
          </w:p>
        </w:tc>
        <w:tc>
          <w:tcPr>
            <w:tcW w:type="dxa" w:w="3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当前取值来源</w:t>
            </w:r>
          </w:p>
        </w:tc>
        <w:tc>
          <w:tcPr>
            <w:tcW w:type="dxa" w:w="3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如何随学更新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专业背景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专业、课程与自然语言描述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首次对话与课程切换</w:t>
            </w:r>
          </w:p>
        </w:tc>
      </w:tr>
      <w:tr>
        <w:tc>
          <w:tcPr>
            <w:tcW w:type="dxa" w:w="18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知识基础</w:t>
            </w:r>
          </w:p>
        </w:tc>
        <w:tc>
          <w:tcPr>
            <w:tcW w:type="dxa" w:w="36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学习历史、问答与测验表现</w:t>
            </w:r>
          </w:p>
        </w:tc>
        <w:tc>
          <w:tcPr>
            <w:tcW w:type="dxa" w:w="39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对话困难点和错题信号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学习目标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goal 字段与请求意图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chat / collect / generate 请求</w:t>
            </w:r>
          </w:p>
        </w:tc>
      </w:tr>
      <w:tr>
        <w:tc>
          <w:tcPr>
            <w:tcW w:type="dxa" w:w="18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认知风格</w:t>
            </w:r>
          </w:p>
        </w:tc>
        <w:tc>
          <w:tcPr>
            <w:tcW w:type="dxa" w:w="36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讲解、练习、代码等组合偏好</w:t>
            </w:r>
          </w:p>
        </w:tc>
        <w:tc>
          <w:tcPr>
            <w:tcW w:type="dxa" w:w="39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资源使用与生成选择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易错点偏好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错题、混淆表达、失败事件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quiz_answer / chat_message</w:t>
            </w:r>
          </w:p>
        </w:tc>
      </w:tr>
      <w:tr>
        <w:tc>
          <w:tcPr>
            <w:tcW w:type="dxa" w:w="18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资源偏好</w:t>
            </w:r>
          </w:p>
        </w:tc>
        <w:tc>
          <w:tcPr>
            <w:tcW w:type="dxa" w:w="36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采纳来源、上传资料和资产类型</w:t>
            </w:r>
          </w:p>
        </w:tc>
        <w:tc>
          <w:tcPr>
            <w:tcW w:type="dxa" w:w="39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source_accept 等学习事件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画像文本区分“稳定画像”和“最近学习信号”。系统最多保留近期 40 条事件，并对目标、易错点和资源偏好做增量归纳，避免把原始事件无限堆积成不可读日志。</w:t>
      </w:r>
    </w:p>
    <w:p>
      <w:pPr>
        <w:pStyle w:val="Heading2"/>
      </w:pPr>
      <w:r>
        <w:t>2.2 创新二：9 角色协作与模式路由</w:t>
      </w:r>
    </w:p>
    <w:p>
      <w:r>
        <w:rPr>
          <w:rFonts w:ascii="Calibri" w:hAnsi="Calibri" w:eastAsia="Microsoft YaHei"/>
        </w:rPr>
        <w:t>多智能体不是简单把同一个模型调用九次，而是先定义角色职责与输出契约，再按交互模式激活必要角色。chat 只启用画像、辅导、评估和安全；collect 启用画像、课程、搜集和安全；generate 执行完整链路。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6E0EC"/>
          <w:left w:val="single" w:sz="5" w:color="D6E0EC"/>
          <w:bottom w:val="single" w:sz="5" w:color="D6E0EC"/>
          <w:right w:val="single" w:sz="5" w:color="D6E0EC"/>
          <w:insideH w:val="single" w:sz="5" w:color="D6E0EC"/>
          <w:insideV w:val="single" w:sz="5" w:color="D6E0EC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工程价值｜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职责隔离让系统可以独立替换模型、缩短轻量交互路径，并把每个阶段作为 SSE 事件呈现给用户。</w:t>
            </w:r>
          </w:p>
        </w:tc>
      </w:tr>
    </w:tbl>
    <w:p>
      <w:pPr>
        <w:spacing w:after="40"/>
      </w:pPr>
    </w:p>
    <w:p>
      <w:pPr>
        <w:pStyle w:val="Heading2"/>
      </w:pPr>
      <w:r>
        <w:t>2.3 创新三：来源约束的多模态资产流水线</w:t>
      </w:r>
    </w:p>
    <w:p>
      <w:r>
        <w:rPr>
          <w:rFonts w:ascii="Calibri" w:hAnsi="Calibri" w:eastAsia="Microsoft YaHei"/>
        </w:rPr>
        <w:t>学生先选择可信来源，再选择需要的资产类型。文本资产使用学习资产模型生成结构化 JSON；图片资产进入独立图片模型；播客由脚本、说话人配置、TTS 与音频合成管线完成。测验、闪卡、思维导图和 Markdown 在保存前执行结构修复与完整性校验。</w:t>
      </w:r>
    </w:p>
    <w:p>
      <w:pPr>
        <w:pStyle w:val="Heading2"/>
      </w:pPr>
      <w:r>
        <w:t>2.4 创新四：可观测长任务与防幻觉阻断</w:t>
      </w:r>
    </w:p>
    <w:p>
      <w:r>
        <w:rPr>
          <w:rFonts w:ascii="Calibri" w:hAnsi="Calibri" w:eastAsia="Microsoft YaHei"/>
        </w:rPr>
        <w:t>系统同时提供轻量 SSE 阶段流和可持久化 command job。更关键的是，当用户选择了来源但来源正文尚未解析完成时，生成流程返回空资产并提示等待，而不是使用模型常识补写。这是一条可以自动测试的硬约束。</w:t>
      </w:r>
    </w:p>
    <w:p>
      <w:pPr>
        <w:pStyle w:val="Heading1"/>
      </w:pPr>
      <w:r>
        <w:t>3. 多智能体架构与实现</w:t>
      </w:r>
    </w:p>
    <w:p>
      <w:pPr>
        <w:pStyle w:val="Heading2"/>
      </w:pPr>
      <w:r>
        <w:t>3.1 角色分工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4E2"/>
          <w:left w:val="single" w:sz="6" w:color="C9D4E2"/>
          <w:bottom w:val="single" w:sz="6" w:color="C9D4E2"/>
          <w:right w:val="single" w:sz="6" w:color="C9D4E2"/>
          <w:insideH w:val="single" w:sz="6" w:color="C9D4E2"/>
          <w:insideV w:val="single" w:sz="6" w:color="C9D4E2"/>
        </w:tblBorders>
      </w:tblPr>
      <w:tblGrid>
        <w:gridCol w:w="1900"/>
        <w:gridCol w:w="4360"/>
        <w:gridCol w:w="310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4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核心职责</w:t>
            </w:r>
          </w:p>
        </w:tc>
        <w:tc>
          <w:tcPr>
            <w:tcW w:type="dxa" w:w="3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主要输出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画像智能体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从自然语言与学习事件中抽取学生状态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6 维画像、置信度、最近信号</w:t>
            </w:r>
          </w:p>
        </w:tc>
      </w:tr>
      <w:tr>
        <w:tc>
          <w:tcPr>
            <w:tcW w:type="dxa" w:w="19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课程结构智能体</w:t>
            </w:r>
          </w:p>
        </w:tc>
        <w:tc>
          <w:tcPr>
            <w:tcW w:type="dxa" w:w="43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拆解知识单元并排序先修关系</w:t>
            </w:r>
          </w:p>
        </w:tc>
        <w:tc>
          <w:tcPr>
            <w:tcW w:type="dxa" w:w="31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课程结构与学习边界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资源搜集智能体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规划查询、评分、去重、多样性选择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候选来源与采纳状态</w:t>
            </w:r>
          </w:p>
        </w:tc>
      </w:tr>
      <w:tr>
        <w:tc>
          <w:tcPr>
            <w:tcW w:type="dxa" w:w="19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资源生成智能体</w:t>
            </w:r>
          </w:p>
        </w:tc>
        <w:tc>
          <w:tcPr>
            <w:tcW w:type="dxa" w:w="43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生成讲解、图谱、阅读等资产</w:t>
            </w:r>
          </w:p>
        </w:tc>
        <w:tc>
          <w:tcPr>
            <w:tcW w:type="dxa" w:w="31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结构化 LearningResource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练习实训智能体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生成 Quiz、闪卡、代码实操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题目、答案、解析与实验任务</w:t>
            </w:r>
          </w:p>
        </w:tc>
      </w:tr>
      <w:tr>
        <w:tc>
          <w:tcPr>
            <w:tcW w:type="dxa" w:w="19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路径规划智能体</w:t>
            </w:r>
          </w:p>
        </w:tc>
        <w:tc>
          <w:tcPr>
            <w:tcW w:type="dxa" w:w="43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依据画像和掌握度安排顺序</w:t>
            </w:r>
          </w:p>
        </w:tc>
        <w:tc>
          <w:tcPr>
            <w:tcW w:type="dxa" w:w="31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4 阶段路径与检查点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智能辅导智能体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即时答疑、错误定位、下一步引导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tutor_answer</w:t>
            </w:r>
          </w:p>
        </w:tc>
      </w:tr>
      <w:tr>
        <w:tc>
          <w:tcPr>
            <w:tcW w:type="dxa" w:w="19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学习评估智能体</w:t>
            </w:r>
          </w:p>
        </w:tc>
        <w:tc>
          <w:tcPr>
            <w:tcW w:type="dxa" w:w="43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总结优势、风险与调整建议</w:t>
            </w:r>
          </w:p>
        </w:tc>
        <w:tc>
          <w:tcPr>
            <w:tcW w:type="dxa" w:w="31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score 与 next_adjustments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安全校验智能体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检查来源一致性、敏感内容与质量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passed / needs_review 报告</w:t>
            </w:r>
          </w:p>
        </w:tc>
      </w:tr>
    </w:tbl>
    <w:p>
      <w:pPr>
        <w:spacing w:after="40"/>
      </w:pPr>
    </w:p>
    <w:p>
      <w:pPr>
        <w:pStyle w:val="Heading2"/>
      </w:pPr>
      <w:r>
        <w:t>3.2 编排数据契约</w:t>
      </w:r>
    </w:p>
    <w:p>
      <w:r>
        <w:rPr>
          <w:rFonts w:ascii="Calibri" w:hAnsi="Calibri" w:eastAsia="Microsoft YaHei"/>
        </w:rPr>
        <w:t>入口对象 LearningOrchestrationRequest 汇总本轮任务所需状态：message、mode、course、major、goal、learning_history、requested_outputs、accepted_resource_ids、supplemental_materials、learning_record_id、target_language、image_model 以及画像更新开关。</w:t>
      </w:r>
    </w:p>
    <w:p>
      <w:r>
        <w:rPr>
          <w:rFonts w:ascii="Calibri" w:hAnsi="Calibri" w:eastAsia="Microsoft YaHei"/>
        </w:rPr>
        <w:t>返回对象 LearningOrchestrationResponse 同时携带 profile、collected_resources、resources、learning_path、recommendations、tutor_answer、evaluation、safety_report 与 trace。前端无需拼接多组不一致数据，就能重放一次完整学习决策。</w:t>
      </w:r>
    </w:p>
    <w:p>
      <w:pPr>
        <w:pStyle w:val="Heading2"/>
      </w:pPr>
      <w:r>
        <w:t>3.3 执行顺序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</w:rPr>
        <w:t>标准化学生请求，补齐课程、专业、目标、历史与目标语言。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</w:rPr>
        <w:t>读取或创建学习画像来源，并按模式确定本轮活跃角色。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</w:rPr>
        <w:t>资源搜集智能体规划多个搜索意图，执行检索、启发式评分、可选 LLM 重排与多样性选择。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</w:rPr>
        <w:t>学生接受来源或上传自有资料；系统构建最多 24,000 字符的来源上下文，单来源最多 7,000 字符。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</w:rPr>
        <w:t>按 requested_outputs 选择模型与生成管线，校验测验、闪卡、导图与 Markdown 结构。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</w:rPr>
        <w:t>输出学习路径、辅导、评估和安全报告；将阶段通过 SSE 或后台任务状态展示。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</w:rPr>
        <w:t>记录本轮学习事件，更新可持久化画像来源，供下一轮学习复用。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search-ag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资源搜集与学习请求入口：智能体候选来源保留学生确认权</w:t>
      </w:r>
    </w:p>
    <w:p>
      <w:pPr>
        <w:pStyle w:val="Heading1"/>
      </w:pPr>
      <w:r>
        <w:t>4. 多模态资源生成</w:t>
      </w:r>
    </w:p>
    <w:p>
      <w:pPr>
        <w:pStyle w:val="Heading2"/>
      </w:pPr>
      <w:r>
        <w:t>4.1 资产类型与呈现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4E2"/>
          <w:left w:val="single" w:sz="6" w:color="C9D4E2"/>
          <w:bottom w:val="single" w:sz="6" w:color="C9D4E2"/>
          <w:right w:val="single" w:sz="6" w:color="C9D4E2"/>
          <w:insideH w:val="single" w:sz="6" w:color="C9D4E2"/>
          <w:insideV w:val="single" w:sz="6" w:color="C9D4E2"/>
        </w:tblBorders>
      </w:tblPr>
      <w:tblGrid>
        <w:gridCol w:w="1800"/>
        <w:gridCol w:w="4200"/>
        <w:gridCol w:w="33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资产</w:t>
            </w:r>
          </w:p>
        </w:tc>
        <w:tc>
          <w:tcPr>
            <w:tcW w:type="dxa" w:w="4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生成/处理机制</w:t>
            </w:r>
          </w:p>
        </w:tc>
        <w:tc>
          <w:tcPr>
            <w:tcW w:type="dxa" w:w="3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主要学习用途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课程讲解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长文 Markdown；章节与自检结构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建立概念边界与学习顺序</w:t>
            </w:r>
          </w:p>
        </w:tc>
      </w:tr>
      <w:tr>
        <w:tc>
          <w:tcPr>
            <w:tcW w:type="dxa" w:w="18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Quiz</w:t>
            </w:r>
          </w:p>
        </w:tc>
        <w:tc>
          <w:tcPr>
            <w:tcW w:type="dxa" w:w="42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结构化题目、选项、答案索引、解析</w:t>
            </w:r>
          </w:p>
        </w:tc>
        <w:tc>
          <w:tcPr>
            <w:tcW w:type="dxa" w:w="33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学习前后诊断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知识闪卡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正面、背面、提示、证据、来源引用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高频回忆与易错点复习</w:t>
            </w:r>
          </w:p>
        </w:tc>
      </w:tr>
      <w:tr>
        <w:tc>
          <w:tcPr>
            <w:tcW w:type="dxa" w:w="18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思维导图</w:t>
            </w:r>
          </w:p>
        </w:tc>
        <w:tc>
          <w:tcPr>
            <w:tcW w:type="dxa" w:w="42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Mermaid mindmap + 文本/表格降级表示</w:t>
            </w:r>
          </w:p>
        </w:tc>
        <w:tc>
          <w:tcPr>
            <w:tcW w:type="dxa" w:w="33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结构梳理与关系理解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拓展阅读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按来源和目标组织阅读路径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扩展深度与权威资料</w:t>
            </w:r>
          </w:p>
        </w:tc>
      </w:tr>
      <w:tr>
        <w:tc>
          <w:tcPr>
            <w:tcW w:type="dxa" w:w="18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代码实验</w:t>
            </w:r>
          </w:p>
        </w:tc>
        <w:tc>
          <w:tcPr>
            <w:tcW w:type="dxa" w:w="42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Notebook 任务、运行与误差分析要求</w:t>
            </w:r>
          </w:p>
        </w:tc>
        <w:tc>
          <w:tcPr>
            <w:tcW w:type="dxa" w:w="33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把概念迁移到实践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辅助图片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独立图片模型生成并保存 PNG/JPEG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可视化抽象概念</w:t>
            </w:r>
          </w:p>
        </w:tc>
      </w:tr>
      <w:tr>
        <w:tc>
          <w:tcPr>
            <w:tcW w:type="dxa" w:w="18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播客音频</w:t>
            </w:r>
          </w:p>
        </w:tc>
        <w:tc>
          <w:tcPr>
            <w:tcW w:type="dxa" w:w="42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提纲 → 对话脚本 → 多说话人 TTS → 合成</w:t>
            </w:r>
          </w:p>
        </w:tc>
        <w:tc>
          <w:tcPr>
            <w:tcW w:type="dxa" w:w="33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听觉复习与通勤学习</w:t>
            </w:r>
          </w:p>
        </w:tc>
      </w:tr>
    </w:tbl>
    <w:p>
      <w:pPr>
        <w:spacing w:after="40"/>
      </w:pPr>
    </w:p>
    <w:p>
      <w:pPr>
        <w:pStyle w:val="Heading2"/>
      </w:pPr>
      <w:r>
        <w:t>4.2 生成质量控制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</w:rPr>
        <w:t>只返回学生明确选择的资产，避免一次生成过多低价值内容。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</w:rPr>
        <w:t>学习画像用于调整解释方式，但画像 Source 会从事实证据上下文中剔除，避免把画像元数据生成成课程知识。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</w:rPr>
        <w:t>闪卡有效数量不足 6 张或缺少证据字段时判定生成无效；Quiz 统一校验答案索引与解析。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</w:rPr>
        <w:t>Mind map 修复未闭合代码围栏；Markdown 修复破损表格和块边界。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</w:rPr>
        <w:t>图片模型凭据缺失时给出配置错误，不生成伪图片；播客模型与 TTS 模型按用途隔离。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22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flashcard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2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真实演示资产：来源约束的知识闪卡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468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podcas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46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 真实演示资产：独立播客与 TTS 管线</w:t>
      </w:r>
    </w:p>
    <w:p>
      <w:pPr>
        <w:pStyle w:val="Heading1"/>
      </w:pPr>
      <w:r>
        <w:t>5. 个性化学习闭环</w:t>
      </w:r>
    </w:p>
    <w:p>
      <w:pPr>
        <w:pStyle w:val="Heading2"/>
      </w:pPr>
      <w:r>
        <w:t>5.1 四阶段动态路径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4E2"/>
          <w:left w:val="single" w:sz="6" w:color="C9D4E2"/>
          <w:bottom w:val="single" w:sz="6" w:color="C9D4E2"/>
          <w:right w:val="single" w:sz="6" w:color="C9D4E2"/>
          <w:insideH w:val="single" w:sz="6" w:color="C9D4E2"/>
          <w:insideV w:val="single" w:sz="6" w:color="C9D4E2"/>
        </w:tblBorders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4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目标</w:t>
            </w:r>
          </w:p>
        </w:tc>
        <w:tc>
          <w:tcPr>
            <w:tcW w:type="dxa" w:w="3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检查点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1 建立课程地图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确认来源并理解主题关系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能在 3 分钟内讲清知识结构</w:t>
            </w:r>
          </w:p>
        </w:tc>
      </w:tr>
      <w:tr>
        <w:tc>
          <w:tcPr>
            <w:tcW w:type="dxa" w:w="19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2 补齐关键短板</w:t>
            </w:r>
          </w:p>
        </w:tc>
        <w:tc>
          <w:tcPr>
            <w:tcW w:type="dxa" w:w="43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Quiz 诊断、错因归类、定向讲解</w:t>
            </w:r>
          </w:p>
        </w:tc>
        <w:tc>
          <w:tcPr>
            <w:tcW w:type="dxa" w:w="31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基础题正确率达到 80%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3 完成实操迁移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运行代码、观察参数、解释误差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能解释一次实验结果与误差来源</w:t>
            </w:r>
          </w:p>
        </w:tc>
      </w:tr>
      <w:tr>
        <w:tc>
          <w:tcPr>
            <w:tcW w:type="dxa" w:w="19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4 评估并更新画像</w:t>
            </w:r>
          </w:p>
        </w:tc>
        <w:tc>
          <w:tcPr>
            <w:tcW w:type="dxa" w:w="43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提交反馈、复盘错题、生成下一轮计划</w:t>
            </w:r>
          </w:p>
        </w:tc>
        <w:tc>
          <w:tcPr>
            <w:tcW w:type="dxa" w:w="31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形成下一轮任务清单</w:t>
            </w:r>
          </w:p>
        </w:tc>
      </w:tr>
    </w:tbl>
    <w:p>
      <w:pPr>
        <w:spacing w:after="40"/>
      </w:pPr>
    </w:p>
    <w:p>
      <w:pPr>
        <w:pStyle w:val="Heading2"/>
      </w:pPr>
      <w:r>
        <w:t>5.2 反馈如何回流</w:t>
      </w:r>
    </w:p>
    <w:p>
      <w:r>
        <w:rPr>
          <w:rFonts w:ascii="Calibri" w:hAnsi="Calibri" w:eastAsia="Microsoft YaHei"/>
        </w:rPr>
        <w:t>问答困难点、错误答案、资料采纳、资产生成和学习请求会转为学习事件。稳定字段被增量归纳，原始信号保留在最近事件区。错题本聚合错误题目与解析，学习曲线按日汇总学习量、质量和测验正确率；两者共同为下一轮资源排序提供可解释依据。</w:t>
      </w:r>
    </w:p>
    <w:p>
      <w:pPr>
        <w:pStyle w:val="Heading2"/>
      </w:pPr>
      <w:r>
        <w:t>5.3 可解释反馈分层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4E2"/>
          <w:left w:val="single" w:sz="6" w:color="C9D4E2"/>
          <w:bottom w:val="single" w:sz="6" w:color="C9D4E2"/>
          <w:right w:val="single" w:sz="6" w:color="C9D4E2"/>
          <w:insideH w:val="single" w:sz="6" w:color="C9D4E2"/>
          <w:insideV w:val="single" w:sz="6" w:color="C9D4E2"/>
        </w:tblBorders>
      </w:tblPr>
      <w:tblGrid>
        <w:gridCol w:w="1800"/>
        <w:gridCol w:w="3800"/>
        <w:gridCol w:w="37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反馈层</w:t>
            </w:r>
          </w:p>
        </w:tc>
        <w:tc>
          <w:tcPr>
            <w:tcW w:type="dxa" w:w="3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记录内容</w:t>
            </w:r>
          </w:p>
        </w:tc>
        <w:tc>
          <w:tcPr>
            <w:tcW w:type="dxa" w:w="3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下一轮用途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画像层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6 维稳定特征、置信度与证据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决定讲解深度、表达方式与资源偏好</w:t>
            </w:r>
          </w:p>
        </w:tc>
      </w:tr>
      <w:tr>
        <w:tc>
          <w:tcPr>
            <w:tcW w:type="dxa" w:w="18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行为层</w:t>
            </w:r>
          </w:p>
        </w:tc>
        <w:tc>
          <w:tcPr>
            <w:tcW w:type="dxa" w:w="38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问答、资料采纳、资产生成等近期事件</w:t>
            </w:r>
          </w:p>
        </w:tc>
        <w:tc>
          <w:tcPr>
            <w:tcW w:type="dxa" w:w="37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发现短期兴趣、困难与学习节奏变化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诊断层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错题、解析、正确率与学习曲线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调整路径检查点并生成针对性练习</w:t>
            </w:r>
          </w:p>
        </w:tc>
      </w:tr>
    </w:tbl>
    <w:p>
      <w:pPr>
        <w:spacing w:after="4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1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learning-workspa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 三栏学习工作台：来源输入、对话辅导与 Studio 资产在同一学习记录中协作</w:t>
      </w:r>
    </w:p>
    <w:p>
      <w:pPr>
        <w:pStyle w:val="Heading1"/>
      </w:pPr>
      <w:r>
        <w:t>6. RAG、防幻觉与内容安全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4E2"/>
          <w:left w:val="single" w:sz="6" w:color="C9D4E2"/>
          <w:bottom w:val="single" w:sz="6" w:color="C9D4E2"/>
          <w:right w:val="single" w:sz="6" w:color="C9D4E2"/>
          <w:insideH w:val="single" w:sz="6" w:color="C9D4E2"/>
          <w:insideV w:val="single" w:sz="6" w:color="C9D4E2"/>
        </w:tblBorders>
      </w:tblPr>
      <w:tblGrid>
        <w:gridCol w:w="1700"/>
        <w:gridCol w:w="4400"/>
        <w:gridCol w:w="32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控制层</w:t>
            </w:r>
          </w:p>
        </w:tc>
        <w:tc>
          <w:tcPr>
            <w:tcW w:type="dxa" w:w="4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实现</w:t>
            </w:r>
          </w:p>
        </w:tc>
        <w:tc>
          <w:tcPr>
            <w:tcW w:type="dxa" w:w="3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来源选择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学生接受候选来源或上传自有资料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控制事实边界</w:t>
            </w:r>
          </w:p>
        </w:tc>
      </w:tr>
      <w:tr>
        <w:tc>
          <w:tcPr>
            <w:tcW w:type="dxa" w:w="17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上下文构建</w:t>
            </w:r>
          </w:p>
        </w:tc>
        <w:tc>
          <w:tcPr>
            <w:tcW w:type="dxa" w:w="44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来源切分、语义索引、token 预算</w:t>
            </w:r>
          </w:p>
        </w:tc>
        <w:tc>
          <w:tcPr>
            <w:tcW w:type="dxa" w:w="32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减少无关上下文与漂移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硬阻断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来源存在但正文不可用时不生成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避免模型常识冒充资料结论</w:t>
            </w:r>
          </w:p>
        </w:tc>
      </w:tr>
      <w:tr>
        <w:tc>
          <w:tcPr>
            <w:tcW w:type="dxa" w:w="17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结构校验</w:t>
            </w:r>
          </w:p>
        </w:tc>
        <w:tc>
          <w:tcPr>
            <w:tcW w:type="dxa" w:w="44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Quiz、闪卡、导图、Markdown 校验与修复</w:t>
            </w:r>
          </w:p>
        </w:tc>
        <w:tc>
          <w:tcPr>
            <w:tcW w:type="dxa" w:w="32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阻止不完整资产入库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安全报告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敏感内容、来源一致性、质量检查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输出 passed 或 needs_review</w:t>
            </w:r>
          </w:p>
        </w:tc>
      </w:tr>
      <w:tr>
        <w:tc>
          <w:tcPr>
            <w:tcW w:type="dxa" w:w="17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凭据保护</w:t>
            </w:r>
          </w:p>
        </w:tc>
        <w:tc>
          <w:tcPr>
            <w:tcW w:type="dxa" w:w="44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API key 加密保存且接口不回显明文</w:t>
            </w:r>
          </w:p>
        </w:tc>
        <w:tc>
          <w:tcPr>
            <w:tcW w:type="dxa" w:w="32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降低凭据泄露风险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6E0EC"/>
          <w:left w:val="single" w:sz="5" w:color="D6E0EC"/>
          <w:bottom w:val="single" w:sz="5" w:color="D6E0EC"/>
          <w:right w:val="single" w:sz="5" w:color="D6E0EC"/>
          <w:insideH w:val="single" w:sz="5" w:color="D6E0EC"/>
          <w:insideV w:val="single" w:sz="5" w:color="D6E0EC"/>
        </w:tblBorders>
      </w:tblPr>
      <w:tblGrid>
        <w:gridCol w:w="9360"/>
      </w:tblGrid>
      <w:tr>
        <w:tc>
          <w:tcPr>
            <w:tcW w:type="dxa" w:w="9360"/>
            <w:shd w:fill="FFF8E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边界说明｜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安全机制用于降低而非宣称消除幻觉。真实学术结论仍需学生依据引用来源复核；外部模型服务质量不属于本系统可完全控制的范围。</w:t>
            </w:r>
          </w:p>
        </w:tc>
      </w:tr>
    </w:tbl>
    <w:p>
      <w:pPr>
        <w:spacing w:after="40"/>
      </w:pPr>
    </w:p>
    <w:p>
      <w:pPr>
        <w:pStyle w:val="Heading1"/>
      </w:pPr>
      <w:r>
        <w:t>7. 系统架构与技术实现</w:t>
      </w:r>
    </w:p>
    <w:p>
      <w:pPr>
        <w:pStyle w:val="Heading2"/>
      </w:pPr>
      <w:r>
        <w:t>7.1 分层架构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4E2"/>
          <w:left w:val="single" w:sz="6" w:color="C9D4E2"/>
          <w:bottom w:val="single" w:sz="6" w:color="C9D4E2"/>
          <w:right w:val="single" w:sz="6" w:color="C9D4E2"/>
          <w:insideH w:val="single" w:sz="6" w:color="C9D4E2"/>
          <w:insideV w:val="single" w:sz="6" w:color="C9D4E2"/>
        </w:tblBorders>
      </w:tblPr>
      <w:tblGrid>
        <w:gridCol w:w="1600"/>
        <w:gridCol w:w="3300"/>
        <w:gridCol w:w="44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层次</w:t>
            </w:r>
          </w:p>
        </w:tc>
        <w:tc>
          <w:tcPr>
            <w:tcW w:type="dxa" w:w="3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核心技术</w:t>
            </w:r>
          </w:p>
        </w:tc>
        <w:tc>
          <w:tcPr>
            <w:tcW w:type="dxa" w:w="4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交互层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Next.js / React / Radix UI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学习记录、三栏工作台、Studio、错题本、学习曲线</w:t>
            </w:r>
          </w:p>
        </w:tc>
      </w:tr>
      <w:tr>
        <w:tc>
          <w:tcPr>
            <w:tcW w:type="dxa" w:w="16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接口层</w:t>
            </w:r>
          </w:p>
        </w:tc>
        <w:tc>
          <w:tcPr>
            <w:tcW w:type="dxa" w:w="33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FastAPI / SSE</w:t>
            </w:r>
          </w:p>
        </w:tc>
        <w:tc>
          <w:tcPr>
            <w:tcW w:type="dxa" w:w="44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notebook、source、chat、learning、model、credential、command API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编排层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LearningService / LangGraph 工作流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角色路由、资源搜集、资产生成、路径、评估、安全</w:t>
            </w:r>
          </w:p>
        </w:tc>
      </w:tr>
      <w:tr>
        <w:tc>
          <w:tcPr>
            <w:tcW w:type="dxa" w:w="16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模型适配层</w:t>
            </w:r>
          </w:p>
        </w:tc>
        <w:tc>
          <w:tcPr>
            <w:tcW w:type="dxa" w:w="33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LangChain / OpenAI-compatible / DashScope</w:t>
            </w:r>
          </w:p>
        </w:tc>
        <w:tc>
          <w:tcPr>
            <w:tcW w:type="dxa" w:w="44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文本、Embedding、图片、TTS、STT 多协议统一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数据与任务层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SurrealDB / surreal-commands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来源、资产、画像、模型、凭据、后台任务与日志</w:t>
            </w:r>
          </w:p>
        </w:tc>
      </w:tr>
      <w:tr>
        <w:tc>
          <w:tcPr>
            <w:tcW w:type="dxa" w:w="16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桌面交付层</w:t>
            </w:r>
          </w:p>
        </w:tc>
        <w:tc>
          <w:tcPr>
            <w:tcW w:type="dxa" w:w="33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pywebview / WebView2 / Inno Setup</w:t>
            </w:r>
          </w:p>
        </w:tc>
        <w:tc>
          <w:tcPr>
            <w:tcW w:type="dxa" w:w="44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Windows 安装包、本地服务编排与独立窗口</w:t>
            </w:r>
          </w:p>
        </w:tc>
      </w:tr>
    </w:tbl>
    <w:p>
      <w:pPr>
        <w:spacing w:after="40"/>
      </w:pPr>
    </w:p>
    <w:p>
      <w:pPr>
        <w:pStyle w:val="Heading2"/>
      </w:pPr>
      <w:r>
        <w:t>7.2 模型用途化配置</w:t>
      </w:r>
    </w:p>
    <w:p>
      <w:r>
        <w:rPr>
          <w:rFonts w:ascii="Calibri" w:hAnsi="Calibri" w:eastAsia="Microsoft YaHei"/>
        </w:rPr>
        <w:t>系统不把所有任务绑定到一个默认模型，而是提供 chat、rag、resource_search、learning_asset、study_guide、quiz、flashcards、mind_map、reading、code_lab、podcast、embedding、image、text_to_speech、speech_to_text 等用途。单一资产生成时优先选择对应模型，多资产批量生成时使用 learning_asset 模型。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1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model-sett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5 模型/API 配置：基础默认项与按学习用途覆盖</w:t>
      </w:r>
    </w:p>
    <w:p>
      <w:pPr>
        <w:pStyle w:val="Heading1"/>
      </w:pPr>
      <w:r>
        <w:t>8. 用户界面与体验设计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</w:rPr>
        <w:t>三栏工作台同时展示资料输入、来源感知对话与学习资产，减少页面跳转。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</w:rPr>
        <w:t>回答支持 Markdown、GFM 表格、公式与引用；学生可框选回答片段继续追问。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</w:rPr>
        <w:t>右侧 Studio 以学习动作而不是模型名称组织入口，降低非技术用户配置成本。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</w:rPr>
        <w:t>长任务通过阶段进度、队列状态、失败日志与结果摘要持续反馈。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</w:rPr>
        <w:t>错题本与学习曲线位于学习记录顶部独立入口，既突出反馈，又不挤占资料区。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</w:rPr>
        <w:t>浏览器和 Windows WebView2 共用同一前端，保持演示与实际交付一致。</w:t>
      </w:r>
    </w:p>
    <w:p>
      <w:pPr>
        <w:pStyle w:val="Heading1"/>
      </w:pPr>
      <w:r>
        <w:t>9. 关键接口与数据结构</w:t>
      </w:r>
    </w:p>
    <w:p>
      <w:pPr>
        <w:pStyle w:val="Heading2"/>
      </w:pPr>
      <w:r>
        <w:t>9.1 学习核心接口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4E2"/>
          <w:left w:val="single" w:sz="6" w:color="C9D4E2"/>
          <w:bottom w:val="single" w:sz="6" w:color="C9D4E2"/>
          <w:right w:val="single" w:sz="6" w:color="C9D4E2"/>
          <w:insideH w:val="single" w:sz="6" w:color="C9D4E2"/>
          <w:insideV w:val="single" w:sz="6" w:color="C9D4E2"/>
        </w:tblBorders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接口</w:t>
            </w:r>
          </w:p>
        </w:tc>
        <w:tc>
          <w:tcPr>
            <w:tcW w:type="dxa" w:w="5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POST /api/learning/orchestrate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同步运行一次学习编排并返回完整闭环对象</w:t>
            </w:r>
          </w:p>
        </w:tc>
      </w:tr>
      <w:tr>
        <w:tc>
          <w:tcPr>
            <w:tcW w:type="dxa" w:w="36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POST /api/learning/orchestrate/stream</w:t>
            </w:r>
          </w:p>
        </w:tc>
        <w:tc>
          <w:tcPr>
            <w:tcW w:type="dxa" w:w="57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通过 SSE 返回各智能体阶段与最终结果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POST /api/learning/resource-search/jobs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提交资源搜集后台任务</w:t>
            </w:r>
          </w:p>
        </w:tc>
      </w:tr>
      <w:tr>
        <w:tc>
          <w:tcPr>
            <w:tcW w:type="dxa" w:w="36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POST /api/learning/assets/jobs</w:t>
            </w:r>
          </w:p>
        </w:tc>
        <w:tc>
          <w:tcPr>
            <w:tcW w:type="dxa" w:w="57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按资产类型提交生成任务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GET /api/learning/profile-source/{notebook_id}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获取或创建画像来源</w:t>
            </w:r>
          </w:p>
        </w:tc>
      </w:tr>
      <w:tr>
        <w:tc>
          <w:tcPr>
            <w:tcW w:type="dxa" w:w="36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POST /api/learning/profile-event</w:t>
            </w:r>
          </w:p>
        </w:tc>
        <w:tc>
          <w:tcPr>
            <w:tcW w:type="dxa" w:w="57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记录学习事件并按需更新画像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/api/search 与 /api/context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全文、向量、语义检索和上下文预算</w:t>
            </w:r>
          </w:p>
        </w:tc>
      </w:tr>
      <w:tr>
        <w:tc>
          <w:tcPr>
            <w:tcW w:type="dxa" w:w="36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/api/commands</w:t>
            </w:r>
          </w:p>
        </w:tc>
        <w:tc>
          <w:tcPr>
            <w:tcW w:type="dxa" w:w="57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查询任务状态、日志、结果与失败原因</w:t>
            </w:r>
          </w:p>
        </w:tc>
      </w:tr>
    </w:tbl>
    <w:p>
      <w:pPr>
        <w:spacing w:after="40"/>
      </w:pPr>
    </w:p>
    <w:p>
      <w:pPr>
        <w:pStyle w:val="Heading2"/>
      </w:pPr>
      <w:r>
        <w:t>9.2 核心持久化对象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4E2"/>
          <w:left w:val="single" w:sz="6" w:color="C9D4E2"/>
          <w:bottom w:val="single" w:sz="6" w:color="C9D4E2"/>
          <w:right w:val="single" w:sz="6" w:color="C9D4E2"/>
          <w:insideH w:val="single" w:sz="6" w:color="C9D4E2"/>
          <w:insideV w:val="single" w:sz="6" w:color="C9D4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对象</w:t>
            </w:r>
          </w:p>
        </w:tc>
        <w:tc>
          <w:tcPr>
            <w:tcW w:type="dxa" w:w="6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notebook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课程学习记录及归档状态</w:t>
            </w:r>
          </w:p>
        </w:tc>
      </w:tr>
      <w:tr>
        <w:tc>
          <w:tcPr>
            <w:tcW w:type="dxa" w:w="25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source / source_embedding</w:t>
            </w:r>
          </w:p>
        </w:tc>
        <w:tc>
          <w:tcPr>
            <w:tcW w:type="dxa" w:w="68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原始资料、全文、主题、分块向量与索引信息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note / artifact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人类笔记与生成学习资产及 notebook 关联</w:t>
            </w:r>
          </w:p>
        </w:tc>
      </w:tr>
      <w:tr>
        <w:tc>
          <w:tcPr>
            <w:tcW w:type="dxa" w:w="25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model / default models</w:t>
            </w:r>
          </w:p>
        </w:tc>
        <w:tc>
          <w:tcPr>
            <w:tcW w:type="dxa" w:w="68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模型、供应商、协议和按用途默认配置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credential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加密后的 API key 与各协议端点</w:t>
            </w:r>
          </w:p>
        </w:tc>
      </w:tr>
      <w:tr>
        <w:tc>
          <w:tcPr>
            <w:tcW w:type="dxa" w:w="25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command job</w:t>
            </w:r>
          </w:p>
        </w:tc>
        <w:tc>
          <w:tcPr>
            <w:tcW w:type="dxa" w:w="68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后台任务参数、状态、日志、结果和运行时间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podcast episode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播客脚本、音频与所属 notebook</w:t>
            </w:r>
          </w:p>
        </w:tc>
      </w:tr>
    </w:tbl>
    <w:p>
      <w:pPr>
        <w:spacing w:after="40"/>
      </w:pPr>
    </w:p>
    <w:p>
      <w:pPr>
        <w:pStyle w:val="Heading1"/>
      </w:pPr>
      <w:r>
        <w:t>10. 运行、部署与维护</w:t>
      </w:r>
    </w:p>
    <w:p>
      <w:pPr>
        <w:pStyle w:val="Heading2"/>
      </w:pPr>
      <w:r>
        <w:t>10.1 三种交付方式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4E2"/>
          <w:left w:val="single" w:sz="6" w:color="C9D4E2"/>
          <w:bottom w:val="single" w:sz="6" w:color="C9D4E2"/>
          <w:right w:val="single" w:sz="6" w:color="C9D4E2"/>
          <w:insideH w:val="single" w:sz="6" w:color="C9D4E2"/>
          <w:insideV w:val="single" w:sz="6" w:color="C9D4E2"/>
        </w:tblBorders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方式</w:t>
            </w:r>
          </w:p>
        </w:tc>
        <w:tc>
          <w:tcPr>
            <w:tcW w:type="dxa" w:w="3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适用场景</w:t>
            </w:r>
          </w:p>
        </w:tc>
        <w:tc>
          <w:tcPr>
            <w:tcW w:type="dxa" w:w="4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入口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Windows 安装包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答辩与普通用户使用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桌面/开始菜单 ForgeNote；WebView2 窗口</w:t>
            </w:r>
          </w:p>
        </w:tc>
      </w:tr>
      <w:tr>
        <w:tc>
          <w:tcPr>
            <w:tcW w:type="dxa" w:w="18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源码运行</w:t>
            </w:r>
          </w:p>
        </w:tc>
        <w:tc>
          <w:tcPr>
            <w:tcW w:type="dxa" w:w="33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开发调试</w:t>
            </w:r>
          </w:p>
        </w:tc>
        <w:tc>
          <w:tcPr>
            <w:tcW w:type="dxa" w:w="42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后端 uv run python run_api.py；前端 npm run dev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Docker Compose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快速复现与服务器部署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docker compose up -d --build</w:t>
            </w:r>
          </w:p>
        </w:tc>
      </w:tr>
    </w:tbl>
    <w:p>
      <w:pPr>
        <w:spacing w:after="40"/>
      </w:pPr>
    </w:p>
    <w:p>
      <w:pPr>
        <w:pStyle w:val="Heading2"/>
      </w:pPr>
      <w:r>
        <w:t>10.2 最小运行配置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</w:rPr>
        <w:t>Python 3.11–3.12、Node.js 22+、SurrealDB v2 或 Docker Desktop。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</w:rPr>
        <w:t>FORGENOTE_ENCRYPTION_KEY、SURREAL_URL、SURREAL_USER、SURREAL_PASSWORD、SURREAL_NAMESPACE=forgenote、SURREAL_DATABASE=forgenote。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</w:rPr>
        <w:t>至少配置一个文本模型；Embedding、图片、TTS、STT 可按演示需求逐项配置。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</w:rPr>
        <w:t>Windows 数据默认位于 %LOCALAPPDATA%\ForgeNote，应用升级不会自动删除用户数据。</w:t>
      </w:r>
    </w:p>
    <w:p>
      <w:pPr>
        <w:pStyle w:val="Heading2"/>
      </w:pPr>
      <w:r>
        <w:t>10.3 维护策略</w:t>
      </w:r>
    </w:p>
    <w:p>
      <w:r>
        <w:rPr>
          <w:rFonts w:ascii="Calibri" w:hAnsi="Calibri" w:eastAsia="Microsoft YaHei"/>
        </w:rPr>
        <w:t>数据库变更使用 forgenote/database/migrations 管理；新增资产类型需同步扩展请求类型、生成命令、前端 Studio、预览与导出规则。后台任务故障首先查看 command job 日志；模型故障按分类错误返回可理解提示。</w:t>
      </w:r>
    </w:p>
    <w:p>
      <w:pPr>
        <w:pStyle w:val="Heading1"/>
      </w:pPr>
      <w:r>
        <w:t>11. 测试与质量证据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4E2"/>
          <w:left w:val="single" w:sz="6" w:color="C9D4E2"/>
          <w:bottom w:val="single" w:sz="6" w:color="C9D4E2"/>
          <w:right w:val="single" w:sz="6" w:color="C9D4E2"/>
          <w:insideH w:val="single" w:sz="6" w:color="C9D4E2"/>
          <w:insideV w:val="single" w:sz="6" w:color="C9D4E2"/>
        </w:tblBorders>
      </w:tblPr>
      <w:tblGrid>
        <w:gridCol w:w="2300"/>
        <w:gridCol w:w="2300"/>
        <w:gridCol w:w="47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范围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结果</w:t>
            </w:r>
          </w:p>
        </w:tc>
        <w:tc>
          <w:tcPr>
            <w:tcW w:type="dxa" w:w="4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后端全量回归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273 passed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pytest；2 条依赖弃用 warning，无失败</w:t>
            </w:r>
          </w:p>
        </w:tc>
      </w:tr>
      <w:tr>
        <w:tc>
          <w:tcPr>
            <w:tcW w:type="dxa" w:w="23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学习编排回归</w:t>
            </w:r>
          </w:p>
        </w:tc>
        <w:tc>
          <w:tcPr>
            <w:tcW w:type="dxa" w:w="23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30 passed</w:t>
            </w:r>
          </w:p>
        </w:tc>
        <w:tc>
          <w:tcPr>
            <w:tcW w:type="dxa" w:w="47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learning service/API/专项验收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A3 专项验收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7 passed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6 维画像、9 智能体、7 资产、路径、安全、画像、流式</w:t>
            </w:r>
          </w:p>
        </w:tc>
      </w:tr>
      <w:tr>
        <w:tc>
          <w:tcPr>
            <w:tcW w:type="dxa" w:w="23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前端单元/组件</w:t>
            </w:r>
          </w:p>
        </w:tc>
        <w:tc>
          <w:tcPr>
            <w:tcW w:type="dxa" w:w="23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10 files / 55 tests passed</w:t>
            </w:r>
          </w:p>
        </w:tc>
        <w:tc>
          <w:tcPr>
            <w:tcW w:type="dxa" w:w="47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Vitest；核心组件与工具函数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测试说明书已改为按真实执行范围报告，并附专项测试源码与 JUnit 结果截图。完整代码见 tests/test_submission_acceptance.py。</w:t>
      </w:r>
    </w:p>
    <w:p>
      <w:pPr>
        <w:pStyle w:val="Heading1"/>
      </w:pPr>
      <w:r>
        <w:t>12. 开源与 AI 工具合规</w:t>
      </w:r>
    </w:p>
    <w:p>
      <w:pPr>
        <w:pStyle w:val="Heading2"/>
      </w:pPr>
      <w:r>
        <w:t>12.1 开源底座与协议</w:t>
      </w:r>
    </w:p>
    <w:p>
      <w:r>
        <w:rPr>
          <w:rFonts w:ascii="Calibri" w:hAnsi="Calibri" w:eastAsia="Microsoft YaHei"/>
        </w:rPr>
        <w:t>ForgeNote 基于 Open Notebook（https://github.com/lfnovo/open-notebook）二次开发，仓库保留 MIT License 与原版权声明。团队自主开发集中在学习画像、多智能体学习编排、资源搜索与确认、多类型资产、路径与评估、安全角色、模型用途化配置、任务可观测、错题本、学习曲线、Windows 交付和比赛材料。</w:t>
      </w:r>
    </w:p>
    <w:p>
      <w:pPr>
        <w:pStyle w:val="Heading2"/>
      </w:pPr>
      <w:r>
        <w:t>12.2 主要依赖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4E2"/>
          <w:left w:val="single" w:sz="6" w:color="C9D4E2"/>
          <w:bottom w:val="single" w:sz="6" w:color="C9D4E2"/>
          <w:right w:val="single" w:sz="6" w:color="C9D4E2"/>
          <w:insideH w:val="single" w:sz="6" w:color="C9D4E2"/>
          <w:insideV w:val="single" w:sz="6" w:color="C9D4E2"/>
        </w:tblBorders>
      </w:tblPr>
      <w:tblGrid>
        <w:gridCol w:w="1700"/>
        <w:gridCol w:w="3200"/>
        <w:gridCol w:w="44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依赖</w:t>
            </w:r>
          </w:p>
        </w:tc>
        <w:tc>
          <w:tcPr>
            <w:tcW w:type="dxa" w:w="4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后端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FastAPI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REST API 与 SSE</w:t>
            </w:r>
          </w:p>
        </w:tc>
      </w:tr>
      <w:tr>
        <w:tc>
          <w:tcPr>
            <w:tcW w:type="dxa" w:w="17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数据库</w:t>
            </w:r>
          </w:p>
        </w:tc>
        <w:tc>
          <w:tcPr>
            <w:tcW w:type="dxa" w:w="32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SurrealDB</w:t>
            </w:r>
          </w:p>
        </w:tc>
        <w:tc>
          <w:tcPr>
            <w:tcW w:type="dxa" w:w="44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学习记录、来源、资产、模型和任务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AI 编排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LangGraph / LangChain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图式工作流和模型调用</w:t>
            </w:r>
          </w:p>
        </w:tc>
      </w:tr>
      <w:tr>
        <w:tc>
          <w:tcPr>
            <w:tcW w:type="dxa" w:w="17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前端</w:t>
            </w:r>
          </w:p>
        </w:tc>
        <w:tc>
          <w:tcPr>
            <w:tcW w:type="dxa" w:w="32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Next.js / React</w:t>
            </w:r>
          </w:p>
        </w:tc>
        <w:tc>
          <w:tcPr>
            <w:tcW w:type="dxa" w:w="44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学习工作台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界面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Radix UI / Tailwind / lucide-react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组件、布局与图标</w:t>
            </w:r>
          </w:p>
        </w:tc>
      </w:tr>
      <w:tr>
        <w:tc>
          <w:tcPr>
            <w:tcW w:type="dxa" w:w="17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7"/>
              </w:rPr>
              <w:t>测试</w:t>
            </w:r>
          </w:p>
        </w:tc>
        <w:tc>
          <w:tcPr>
            <w:tcW w:type="dxa" w:w="32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pytest / Vitest / Testing Library</w:t>
            </w:r>
          </w:p>
        </w:tc>
        <w:tc>
          <w:tcPr>
            <w:tcW w:type="dxa" w:w="44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7"/>
              </w:rPr>
              <w:t>后端、前端与专项验收</w:t>
            </w:r>
          </w:p>
        </w:tc>
      </w:tr>
    </w:tbl>
    <w:p>
      <w:pPr>
        <w:spacing w:after="40"/>
      </w:pPr>
    </w:p>
    <w:p>
      <w:pPr>
        <w:pStyle w:val="Heading2"/>
      </w:pPr>
      <w:r>
        <w:t>12.3 AI Coding 工具说明</w:t>
      </w:r>
    </w:p>
    <w:p>
      <w:r>
        <w:rPr>
          <w:rFonts w:ascii="Calibri" w:hAnsi="Calibri" w:eastAsia="Microsoft YaHei"/>
        </w:rPr>
        <w:t>开发过程中使用 AI Coding 工具辅助代码阅读、重构建议、测试执行、错误分析、交互实现与文档整理。所有关键修改均落入本地仓库，由团队决定取舍，并通过代码审查、自动化测试、lint、build 或手工演示验证；AI 工具不替代最终工程责任。</w:t>
      </w:r>
    </w:p>
    <w:p>
      <w:pPr>
        <w:pStyle w:val="Heading1"/>
      </w:pPr>
      <w:r>
        <w:t>13. 当前边界与后续规划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</w:rPr>
        <w:t>真实大模型、图片和播客端到端质量受用户模型凭据、额度与网络影响；离线测试验证的是系统契约和失败处理。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</w:rPr>
        <w:t>当前多模态重点为文本、结构化题库、图谱、代码、图片和音频，尚未直接生成视频/动画。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</w:rPr>
        <w:t>尚未开展生产级多租户隔离、长时间稳定性和大规模并发压测。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</w:rPr>
        <w:t>安全报告不能替代学术事实复核；后续可加入引用覆盖率、事实一致性模型和人工审核工作流。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</w:rPr>
        <w:t>后续将根据真实学生数据改进画像置信度、路径动态调整和资源质量排序。</w:t>
      </w:r>
    </w:p>
    <w:p>
      <w:r>
        <w:br w:type="page"/>
      </w:r>
    </w:p>
    <w:p>
      <w:pPr>
        <w:pStyle w:val="Heading1"/>
      </w:pPr>
      <w:r>
        <w:t>附录 A：关键代码定位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4E2"/>
          <w:left w:val="single" w:sz="6" w:color="C9D4E2"/>
          <w:bottom w:val="single" w:sz="6" w:color="C9D4E2"/>
          <w:right w:val="single" w:sz="6" w:color="C9D4E2"/>
          <w:insideH w:val="single" w:sz="6" w:color="C9D4E2"/>
          <w:insideV w:val="single" w:sz="6" w:color="C9D4E2"/>
        </w:tblBorders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能力</w:t>
            </w:r>
          </w:p>
        </w:tc>
        <w:tc>
          <w:tcPr>
            <w:tcW w:type="dxa" w:w="6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主要文件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学习编排与资产生成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api/learning_service.py；api/routers/learning.py</w:t>
            </w:r>
          </w:p>
        </w:tc>
      </w:tr>
      <w:tr>
        <w:tc>
          <w:tcPr>
            <w:tcW w:type="dxa" w:w="28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请求/响应契约</w:t>
            </w:r>
          </w:p>
        </w:tc>
        <w:tc>
          <w:tcPr>
            <w:tcW w:type="dxa" w:w="65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api/models.py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后台生成任务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commands/learning_commands.py</w:t>
            </w:r>
          </w:p>
        </w:tc>
      </w:tr>
      <w:tr>
        <w:tc>
          <w:tcPr>
            <w:tcW w:type="dxa" w:w="28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RAG 与语义索引</w:t>
            </w:r>
          </w:p>
        </w:tc>
        <w:tc>
          <w:tcPr>
            <w:tcW w:type="dxa" w:w="65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forgenote/graphs/*；forgenote/utils/semantic_index.py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图片与多协议模型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forgenote/ai/image_generation.py；forgenote/ai/model_specs.py</w:t>
            </w:r>
          </w:p>
        </w:tc>
      </w:tr>
      <w:tr>
        <w:tc>
          <w:tcPr>
            <w:tcW w:type="dxa" w:w="28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播客与 TTS</w:t>
            </w:r>
          </w:p>
        </w:tc>
        <w:tc>
          <w:tcPr>
            <w:tcW w:type="dxa" w:w="65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api/podcast_service.py；forgenote/podcasts/robust_creator.py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前端学习工作台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frontend/src/app/(dashboard)/notebooks；frontend/src/components/learning</w:t>
            </w:r>
          </w:p>
        </w:tc>
      </w:tr>
      <w:tr>
        <w:tc>
          <w:tcPr>
            <w:tcW w:type="dxa" w:w="280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专项测试</w:t>
            </w:r>
          </w:p>
        </w:tc>
        <w:tc>
          <w:tcPr>
            <w:tcW w:type="dxa" w:w="6560"/>
            <w:shd w:fill="FAFC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tests/test_submission_acceptance.py</w:t>
            </w:r>
          </w:p>
        </w:tc>
      </w:tr>
    </w:tbl>
    <w:p>
      <w:pPr>
        <w:spacing w:after="40"/>
      </w:pPr>
    </w:p>
    <w:p>
      <w:pPr>
        <w:pStyle w:val="Heading1"/>
      </w:pPr>
      <w:r>
        <w:t>附录 B：启动命令</w:t>
      </w:r>
    </w:p>
    <w:p>
      <w:pPr>
        <w:pStyle w:val="CodeBlock"/>
      </w:pPr>
      <w:r>
        <w:t>后端：uv run python run_api.py</w:t>
      </w:r>
    </w:p>
    <w:p>
      <w:pPr>
        <w:pStyle w:val="CodeBlock"/>
      </w:pPr>
      <w:r>
        <w:t>前端：cd frontend &amp;&amp; npm install &amp;&amp; npm run dev</w:t>
      </w:r>
    </w:p>
    <w:p>
      <w:pPr>
        <w:pStyle w:val="CodeBlock"/>
      </w:pPr>
      <w:r>
        <w:t>Docker：docker compose up -d --build</w:t>
      </w:r>
    </w:p>
    <w:p>
      <w:pPr>
        <w:pStyle w:val="CodeBlock"/>
      </w:pPr>
      <w:r>
        <w:t>后端测试：uv run pytest -q</w:t>
      </w:r>
    </w:p>
    <w:p>
      <w:pPr>
        <w:pStyle w:val="CodeBlock"/>
      </w:pPr>
      <w:r>
        <w:t>前端测试：cd frontend &amp;&amp; npm test -- --reporter=dot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52647A"/>
        <w:sz w:val="18"/>
      </w:rPr>
      <w:t xml:space="preserve">ForgeNote · </w:t>
    </w:r>
    <w:r>
      <w:rPr>
        <w:rFonts w:ascii="Calibri" w:hAnsi="Calibri" w:eastAsia="Microsoft YaHei"/>
        <w:color w:val="5264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2647A"/>
        <w:sz w:val="17"/>
      </w:rPr>
      <w:t>FORGENOTE · A3 SYSTEM DEVELOPMENT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Calibri" w:hAnsi="Calibri" w:eastAsia="Microsoft YaHei"/>
      <w:b w:val="0"/>
      <w:bCs/>
      <w:i/>
      <w:color w:val="52647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keepNext/>
      <w:spacing w:after="160"/>
    </w:pPr>
    <w:rPr>
      <w:rFonts w:ascii="Calibri" w:hAnsi="Calibri" w:eastAsia="Microsoft YaHei"/>
      <w:b/>
      <w:color w:val="0B2545"/>
      <w:sz w:val="56"/>
    </w:rPr>
  </w:style>
  <w:style w:type="paragraph" w:customStyle="1" w:styleId="DocSubtitle">
    <w:name w:val="DocSubtitle"/>
    <w:pPr>
      <w:spacing w:after="360"/>
    </w:pPr>
    <w:rPr>
      <w:rFonts w:ascii="Calibri" w:hAnsi="Calibri" w:eastAsia="Microsoft YaHei"/>
      <w:b w:val="0"/>
      <w:color w:val="52647A"/>
      <w:sz w:val="27"/>
    </w:rPr>
  </w:style>
  <w:style w:type="paragraph" w:customStyle="1" w:styleId="Kicker">
    <w:name w:val="Kicker"/>
    <w:pPr>
      <w:spacing w:after="80"/>
    </w:pPr>
    <w:rPr>
      <w:rFonts w:ascii="Calibri" w:hAnsi="Calibri" w:eastAsia="Microsoft YaHei"/>
      <w:b/>
      <w:color w:val="2563EB"/>
      <w:sz w:val="20"/>
    </w:rPr>
  </w:style>
  <w:style w:type="paragraph" w:customStyle="1" w:styleId="Lead">
    <w:name w:val="Lead"/>
    <w:pPr>
      <w:spacing w:after="140" w:line="300" w:lineRule="auto"/>
    </w:pPr>
    <w:rPr>
      <w:rFonts w:ascii="Calibri" w:hAnsi="Calibri" w:eastAsia="Microsoft YaHei"/>
      <w:b/>
      <w:color w:val="0B2545"/>
      <w:sz w:val="23"/>
    </w:rPr>
  </w:style>
  <w:style w:type="paragraph" w:customStyle="1" w:styleId="CodeBlock">
    <w:name w:val="CodeBlock"/>
    <w:pPr>
      <w:spacing w:after="0" w:line="240" w:lineRule="auto"/>
    </w:pPr>
    <w:rPr>
      <w:rFonts w:ascii="Consolas" w:hAnsi="Consolas" w:eastAsia="Microsoft YaHei"/>
      <w:b w:val="0"/>
      <w:color w:val="111827"/>
      <w:sz w:val="16"/>
    </w:rPr>
  </w:style>
  <w:style w:type="paragraph" w:customStyle="1" w:styleId="Small">
    <w:name w:val="Small"/>
    <w:pPr>
      <w:spacing w:after="80"/>
    </w:pPr>
    <w:rPr>
      <w:rFonts w:ascii="Calibri" w:hAnsi="Calibri" w:eastAsia="Microsoft YaHei"/>
      <w:b w:val="0"/>
      <w:color w:val="52647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ForgeNote 系统开发说明书</dc:title>
  <dc:subject>中国软件杯 A3 赛题配套文档</dc:subject>
  <dc:creator>ForgeNote Team</dc:creator>
  <cp:keywords>ForgeNote, 多智能体, 多模态, 个性化学习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