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BEEDF" w14:textId="3C6D9427" w:rsidR="00ED2D56" w:rsidRPr="00ED2D56" w:rsidRDefault="00ED2D56" w:rsidP="00ED2D56">
      <w:pPr>
        <w:pStyle w:val="Heading1"/>
        <w:jc w:val="center"/>
        <w:rPr>
          <w:rFonts w:ascii="Arial" w:hAnsi="Arial" w:cs="Arial"/>
          <w:bCs/>
          <w:i/>
          <w:iCs/>
          <w:color w:val="000000" w:themeColor="text1"/>
          <w:sz w:val="24"/>
          <w:szCs w:val="24"/>
        </w:rPr>
      </w:pPr>
      <w:r w:rsidRPr="00ED2D56">
        <w:rPr>
          <w:rFonts w:ascii="Arial" w:hAnsi="Arial" w:cs="Arial"/>
          <w:bCs/>
          <w:i/>
          <w:iCs/>
          <w:color w:val="000000" w:themeColor="text1"/>
          <w:sz w:val="24"/>
          <w:szCs w:val="24"/>
        </w:rPr>
        <w:t>Supplementary Information accompanying the article</w:t>
      </w:r>
    </w:p>
    <w:p w14:paraId="5E01BFBB" w14:textId="7E9FB278" w:rsidR="00ED2D56" w:rsidRDefault="00ED2D56" w:rsidP="00ED2D56">
      <w:pPr>
        <w:pStyle w:val="Heading1"/>
        <w:spacing w:before="0"/>
        <w:jc w:val="center"/>
        <w:rPr>
          <w:rFonts w:ascii="Arial" w:hAnsi="Arial" w:cs="Arial"/>
          <w:b/>
          <w:color w:val="000000" w:themeColor="text1"/>
          <w:sz w:val="24"/>
          <w:szCs w:val="24"/>
        </w:rPr>
      </w:pPr>
      <w:r w:rsidRPr="00ED2D56">
        <w:rPr>
          <w:rFonts w:ascii="Arial" w:hAnsi="Arial" w:cs="Arial"/>
          <w:bCs/>
          <w:color w:val="000000" w:themeColor="text1"/>
          <w:sz w:val="24"/>
          <w:szCs w:val="24"/>
        </w:rPr>
        <w:t>Violin SuperPlots: Visualising replicate heterogeneity in large datasets.</w:t>
      </w:r>
    </w:p>
    <w:p w14:paraId="63A268A5" w14:textId="3D9E6DBC" w:rsidR="00ED2D56" w:rsidRDefault="00ED2D56" w:rsidP="00ED2D56">
      <w:pPr>
        <w:pStyle w:val="Heading1"/>
        <w:spacing w:before="0"/>
        <w:jc w:val="center"/>
        <w:rPr>
          <w:rFonts w:ascii="Arial" w:hAnsi="Arial" w:cs="Arial"/>
          <w:bCs/>
          <w:color w:val="000000" w:themeColor="text1"/>
          <w:sz w:val="24"/>
          <w:szCs w:val="24"/>
        </w:rPr>
      </w:pPr>
      <w:r w:rsidRPr="00ED2D56">
        <w:rPr>
          <w:rFonts w:ascii="Arial" w:hAnsi="Arial" w:cs="Arial"/>
          <w:bCs/>
          <w:color w:val="000000" w:themeColor="text1"/>
          <w:sz w:val="24"/>
          <w:szCs w:val="24"/>
        </w:rPr>
        <w:t>M. Kenny</w:t>
      </w:r>
      <w:r>
        <w:rPr>
          <w:rFonts w:ascii="Arial" w:hAnsi="Arial" w:cs="Arial"/>
          <w:bCs/>
          <w:color w:val="000000" w:themeColor="text1"/>
          <w:sz w:val="24"/>
          <w:szCs w:val="24"/>
        </w:rPr>
        <w:t xml:space="preserve"> and</w:t>
      </w:r>
      <w:r w:rsidRPr="00ED2D56">
        <w:rPr>
          <w:rFonts w:ascii="Arial" w:hAnsi="Arial" w:cs="Arial"/>
          <w:bCs/>
          <w:color w:val="000000" w:themeColor="text1"/>
          <w:sz w:val="24"/>
          <w:szCs w:val="24"/>
        </w:rPr>
        <w:t xml:space="preserve"> I. Schoen</w:t>
      </w:r>
    </w:p>
    <w:p w14:paraId="6704B51B" w14:textId="1DEFEC17" w:rsidR="00ED2D56" w:rsidRDefault="00ED2D56" w:rsidP="00ED2D56">
      <w:pPr>
        <w:pStyle w:val="Heading1"/>
        <w:spacing w:before="0"/>
        <w:jc w:val="center"/>
        <w:rPr>
          <w:rFonts w:ascii="Arial" w:hAnsi="Arial" w:cs="Arial"/>
          <w:b/>
          <w:color w:val="000000" w:themeColor="text1"/>
          <w:sz w:val="24"/>
          <w:szCs w:val="24"/>
        </w:rPr>
      </w:pPr>
      <w:r>
        <w:rPr>
          <w:rFonts w:ascii="Arial" w:hAnsi="Arial" w:cs="Arial"/>
          <w:b/>
          <w:color w:val="000000" w:themeColor="text1"/>
          <w:sz w:val="24"/>
          <w:szCs w:val="24"/>
        </w:rPr>
        <w:t>Journal, issue: pages (2021)</w:t>
      </w:r>
    </w:p>
    <w:p w14:paraId="5E62B040" w14:textId="0B108163" w:rsidR="00ED2D56" w:rsidRDefault="00ED2D56" w:rsidP="00ED2D56"/>
    <w:p w14:paraId="6DD4BFA7" w14:textId="7BA43EA8" w:rsidR="005F48DF" w:rsidRPr="00A152CF" w:rsidRDefault="005F48DF" w:rsidP="00A152CF">
      <w:pPr>
        <w:pStyle w:val="Heading1"/>
        <w:rPr>
          <w:rFonts w:ascii="Arial" w:hAnsi="Arial" w:cs="Arial"/>
          <w:b/>
          <w:color w:val="000000" w:themeColor="text1"/>
          <w:sz w:val="24"/>
          <w:szCs w:val="24"/>
        </w:rPr>
      </w:pPr>
      <w:r w:rsidRPr="005F48DF">
        <w:rPr>
          <w:rFonts w:ascii="Arial" w:hAnsi="Arial" w:cs="Arial"/>
          <w:b/>
          <w:color w:val="000000" w:themeColor="text1"/>
          <w:sz w:val="24"/>
          <w:szCs w:val="24"/>
        </w:rPr>
        <w:t>Superviolin: a Python CLI to generate Violin SuperPlots</w:t>
      </w:r>
    </w:p>
    <w:p w14:paraId="15C9495B" w14:textId="0F0D0B11" w:rsidR="005F48DF" w:rsidRDefault="005F48DF" w:rsidP="005F48DF">
      <w:r>
        <w:t xml:space="preserve">This package </w:t>
      </w:r>
      <w:r w:rsidR="00ED2D56">
        <w:t>can be</w:t>
      </w:r>
      <w:r>
        <w:t xml:space="preserve"> </w:t>
      </w:r>
      <w:r w:rsidR="00ED2D56">
        <w:t xml:space="preserve">used to create </w:t>
      </w:r>
      <w:r>
        <w:t xml:space="preserve">Violin SuperPlots. </w:t>
      </w:r>
      <w:r w:rsidR="00C60D85">
        <w:t>As well as a tutorial on how to use the package</w:t>
      </w:r>
      <w:r>
        <w:t>, this documentation provides an introduction to Python installation and package management to enable non-programmers to easily setup a Python workspace to use this software.</w:t>
      </w:r>
    </w:p>
    <w:p w14:paraId="660FD9E2" w14:textId="77777777" w:rsidR="005F48DF" w:rsidRDefault="005F48DF" w:rsidP="005F48DF"/>
    <w:p w14:paraId="2B85F6D9" w14:textId="45EACE48" w:rsidR="005F48DF" w:rsidRPr="00214CA3" w:rsidRDefault="00BF1414" w:rsidP="00214CA3">
      <w:pPr>
        <w:pStyle w:val="Heading1"/>
        <w:rPr>
          <w:rFonts w:ascii="Arial" w:hAnsi="Arial" w:cs="Arial"/>
          <w:b/>
          <w:color w:val="000000" w:themeColor="text1"/>
          <w:sz w:val="24"/>
          <w:szCs w:val="24"/>
        </w:rPr>
      </w:pPr>
      <w:r>
        <w:rPr>
          <w:rFonts w:ascii="Arial" w:hAnsi="Arial" w:cs="Arial"/>
          <w:b/>
          <w:color w:val="000000" w:themeColor="text1"/>
          <w:sz w:val="24"/>
          <w:szCs w:val="24"/>
        </w:rPr>
        <w:t xml:space="preserve">1. </w:t>
      </w:r>
      <w:r w:rsidR="005F48DF" w:rsidRPr="005F48DF">
        <w:rPr>
          <w:rFonts w:ascii="Arial" w:hAnsi="Arial" w:cs="Arial"/>
          <w:b/>
          <w:color w:val="000000" w:themeColor="text1"/>
          <w:sz w:val="24"/>
          <w:szCs w:val="24"/>
        </w:rPr>
        <w:t>Python installation for non-programmers</w:t>
      </w:r>
    </w:p>
    <w:p w14:paraId="586FE4D3" w14:textId="2A7ADC81" w:rsidR="00002AFB" w:rsidRDefault="005F48DF" w:rsidP="005F48DF">
      <w:r>
        <w:t>If you haven’t used Pytho</w:t>
      </w:r>
      <w:r w:rsidR="008669D9">
        <w:t xml:space="preserve">n before, </w:t>
      </w:r>
      <w:r w:rsidR="00670C2B">
        <w:t>you</w:t>
      </w:r>
      <w:r w:rsidR="008669D9">
        <w:t xml:space="preserve"> will be installing a Python distribution called Anaconda, which is widely used by scientific Pyt</w:t>
      </w:r>
      <w:r w:rsidR="00002AFB">
        <w:t xml:space="preserve">hon developers. A distribution </w:t>
      </w:r>
      <w:r w:rsidR="00670C2B">
        <w:t xml:space="preserve">is a bundle that </w:t>
      </w:r>
      <w:r w:rsidR="00002AFB">
        <w:t xml:space="preserve">contains </w:t>
      </w:r>
      <w:r w:rsidR="00670C2B">
        <w:t xml:space="preserve">the components necessary to run </w:t>
      </w:r>
      <w:r w:rsidR="00002AFB">
        <w:t>Python</w:t>
      </w:r>
      <w:r w:rsidR="00670C2B">
        <w:t>,</w:t>
      </w:r>
      <w:r w:rsidR="00002AFB">
        <w:t xml:space="preserve"> as well as some domain-specific packages. For example, </w:t>
      </w:r>
      <w:r w:rsidR="00670C2B">
        <w:t xml:space="preserve">the </w:t>
      </w:r>
      <w:r w:rsidR="00002AFB">
        <w:t>Anaconda</w:t>
      </w:r>
      <w:r w:rsidR="00670C2B">
        <w:t xml:space="preserve"> distribution</w:t>
      </w:r>
      <w:r w:rsidR="00002AFB">
        <w:t xml:space="preserve"> is intended for use as a data science solution</w:t>
      </w:r>
      <w:r w:rsidR="003D7426">
        <w:t xml:space="preserve"> and contains packages for machine learning, scientific data analysis, and much more. </w:t>
      </w:r>
      <w:r w:rsidR="00002AFB">
        <w:t xml:space="preserve">It ships with </w:t>
      </w:r>
      <w:r w:rsidR="003D7426">
        <w:t xml:space="preserve">over </w:t>
      </w:r>
      <w:r w:rsidR="00002AFB">
        <w:t>200+ p</w:t>
      </w:r>
      <w:r w:rsidR="008669D9">
        <w:t>ackages</w:t>
      </w:r>
      <w:r w:rsidR="00002AFB">
        <w:t>,</w:t>
      </w:r>
      <w:r w:rsidR="008669D9">
        <w:t xml:space="preserve"> including th</w:t>
      </w:r>
      <w:r w:rsidR="00002AFB">
        <w:t>e package dependencies for Superviolin.</w:t>
      </w:r>
    </w:p>
    <w:p w14:paraId="50E4AE08" w14:textId="3105CA3A" w:rsidR="008669D9" w:rsidRDefault="003D7426" w:rsidP="003D7426">
      <w:r>
        <w:t>However, a</w:t>
      </w:r>
      <w:r w:rsidR="00002AFB">
        <w:t xml:space="preserve">s this guide is aimed at non-programmers, we will be installing the </w:t>
      </w:r>
      <w:r w:rsidR="00ED2D56">
        <w:t xml:space="preserve">Miniconda </w:t>
      </w:r>
      <w:r>
        <w:t>distribution</w:t>
      </w:r>
      <w:r w:rsidR="00002AFB">
        <w:t>, which has the same functionality</w:t>
      </w:r>
      <w:r>
        <w:t xml:space="preserve"> as Anaconda,</w:t>
      </w:r>
      <w:r w:rsidR="00002AFB">
        <w:t xml:space="preserve"> but </w:t>
      </w:r>
      <w:r>
        <w:t>saves on hard drive space and</w:t>
      </w:r>
      <w:r w:rsidR="00002AFB">
        <w:t xml:space="preserve"> installation time by only installing the basic packages required for it to function.</w:t>
      </w:r>
      <w:r>
        <w:t xml:space="preserve"> If there are ot</w:t>
      </w:r>
      <w:r w:rsidR="00CA6E07">
        <w:t xml:space="preserve">her packages you want to use in the </w:t>
      </w:r>
      <w:r>
        <w:t>future, you can install them manually</w:t>
      </w:r>
      <w:r w:rsidR="00CA6E07">
        <w:t xml:space="preserve"> later on</w:t>
      </w:r>
      <w:r>
        <w:t>.</w:t>
      </w:r>
    </w:p>
    <w:p w14:paraId="45AC710B" w14:textId="77777777" w:rsidR="00142B7E" w:rsidRDefault="00142B7E" w:rsidP="003D7426"/>
    <w:p w14:paraId="2D53C99D" w14:textId="7E0E6767" w:rsidR="00142B7E" w:rsidRDefault="00142B7E" w:rsidP="00142B7E">
      <w:pPr>
        <w:pStyle w:val="Heading1"/>
      </w:pPr>
      <w:r w:rsidRPr="00142B7E">
        <w:rPr>
          <w:rFonts w:ascii="Arial" w:hAnsi="Arial" w:cs="Arial"/>
          <w:b/>
          <w:color w:val="000000" w:themeColor="text1"/>
          <w:sz w:val="24"/>
          <w:szCs w:val="24"/>
        </w:rPr>
        <w:lastRenderedPageBreak/>
        <w:t>To install Miniconda</w:t>
      </w:r>
      <w:r>
        <w:rPr>
          <w:rFonts w:ascii="Arial" w:hAnsi="Arial" w:cs="Arial"/>
          <w:b/>
          <w:color w:val="000000" w:themeColor="text1"/>
          <w:sz w:val="24"/>
          <w:szCs w:val="24"/>
        </w:rPr>
        <w:t>:</w:t>
      </w:r>
    </w:p>
    <w:p w14:paraId="6AAD3D96" w14:textId="09A1C51F" w:rsidR="003D7426" w:rsidRDefault="003D7426" w:rsidP="003D7426">
      <w:pPr>
        <w:pStyle w:val="ListParagraph"/>
        <w:numPr>
          <w:ilvl w:val="0"/>
          <w:numId w:val="2"/>
        </w:numPr>
        <w:jc w:val="left"/>
      </w:pPr>
      <w:r>
        <w:t xml:space="preserve">Download the Python 3.x Miniconda installer for your OS at </w:t>
      </w:r>
      <w:hyperlink r:id="rId10" w:history="1">
        <w:r w:rsidRPr="00E3601A">
          <w:rPr>
            <w:rStyle w:val="Hyperlink"/>
          </w:rPr>
          <w:t>https://docs.conda.io/en/latest/miniconda.html</w:t>
        </w:r>
      </w:hyperlink>
      <w:r>
        <w:t xml:space="preserve">. </w:t>
      </w:r>
      <w:r w:rsidR="00ED2D56">
        <w:br/>
      </w:r>
      <w:r>
        <w:t xml:space="preserve">Superviolin requires </w:t>
      </w:r>
      <w:r w:rsidR="00670C2B">
        <w:t xml:space="preserve">the installed Python version to be </w:t>
      </w:r>
      <w:r>
        <w:t>at least 3.7</w:t>
      </w:r>
    </w:p>
    <w:p w14:paraId="3598D0E8" w14:textId="1E13DC8D" w:rsidR="003D7426" w:rsidRDefault="002C51A2" w:rsidP="003D7426">
      <w:pPr>
        <w:pStyle w:val="ListParagraph"/>
        <w:numPr>
          <w:ilvl w:val="0"/>
          <w:numId w:val="2"/>
        </w:numPr>
        <w:jc w:val="left"/>
      </w:pPr>
      <w:r>
        <w:t>Run the installer and follow the on-screen instructions, using the default settings you are prompted with</w:t>
      </w:r>
      <w:r w:rsidR="00ED2D56">
        <w:t>.</w:t>
      </w:r>
    </w:p>
    <w:p w14:paraId="78EAF6FA" w14:textId="0AEEBDB1" w:rsidR="003D7426" w:rsidRDefault="00142B7E" w:rsidP="003D7426">
      <w:pPr>
        <w:pStyle w:val="ListParagraph"/>
        <w:numPr>
          <w:ilvl w:val="0"/>
          <w:numId w:val="2"/>
        </w:numPr>
        <w:jc w:val="left"/>
      </w:pPr>
      <w:r>
        <w:t>Congratulations! You now have a functional Python environment on your computer!</w:t>
      </w:r>
    </w:p>
    <w:p w14:paraId="6D03DEA3" w14:textId="205E9897" w:rsidR="00251DE8" w:rsidRPr="00251DE8" w:rsidRDefault="00251DE8" w:rsidP="00E02E99">
      <w:pPr>
        <w:rPr>
          <w:b/>
          <w:bCs/>
        </w:rPr>
      </w:pPr>
      <w:r w:rsidRPr="00251DE8">
        <w:rPr>
          <w:b/>
          <w:bCs/>
        </w:rPr>
        <w:t xml:space="preserve">To install </w:t>
      </w:r>
      <w:r>
        <w:rPr>
          <w:b/>
          <w:bCs/>
        </w:rPr>
        <w:t xml:space="preserve">the </w:t>
      </w:r>
      <w:r w:rsidRPr="00251DE8">
        <w:rPr>
          <w:b/>
          <w:bCs/>
        </w:rPr>
        <w:t>Superviolin</w:t>
      </w:r>
      <w:r>
        <w:rPr>
          <w:b/>
          <w:bCs/>
        </w:rPr>
        <w:t xml:space="preserve"> package:</w:t>
      </w:r>
    </w:p>
    <w:p w14:paraId="4636A53D" w14:textId="626F9068" w:rsidR="00E02E99" w:rsidRDefault="00A152CF" w:rsidP="00E02E99">
      <w:r>
        <w:t>You</w:t>
      </w:r>
      <w:r w:rsidR="00E02E99">
        <w:t xml:space="preserve"> can </w:t>
      </w:r>
      <w:r>
        <w:t xml:space="preserve">now </w:t>
      </w:r>
      <w:r w:rsidR="00E02E99">
        <w:t>proceed to installing Superviolin. Python has a so-called package manager which is used to install, update, and remove packages. It ensures that all package dependencies are maintained and will warn you if something would be broken by a new package installation.</w:t>
      </w:r>
    </w:p>
    <w:p w14:paraId="420B7089" w14:textId="0615855C" w:rsidR="00E02E99" w:rsidRDefault="00E02E99" w:rsidP="00E02E99">
      <w:r>
        <w:t xml:space="preserve">Superviolin uses basic functions from Numpy, Scipy, and Pandas which aren’t likely to be changed dramatically, so you don’t need to worry about versions. As long as you installed Python 3.7 or later, Superviolin </w:t>
      </w:r>
      <w:r w:rsidR="00935783">
        <w:t xml:space="preserve">should </w:t>
      </w:r>
      <w:r>
        <w:t>install just fine.</w:t>
      </w:r>
    </w:p>
    <w:p w14:paraId="2C824608" w14:textId="1F387F00" w:rsidR="00E02E99" w:rsidRDefault="00E02E99" w:rsidP="00E02E99">
      <w:r>
        <w:t>Installing Python packages requires you to enter text commands in the terminal (Mac, Linux) or in Anaconda Prompt (Windows).</w:t>
      </w:r>
      <w:r w:rsidR="006D158F">
        <w:t xml:space="preserve"> Spacing and upper/lower case must be maintained to ensure the commands run as expected. Most common </w:t>
      </w:r>
      <w:r w:rsidR="00A152CF">
        <w:t xml:space="preserve">programming </w:t>
      </w:r>
      <w:r w:rsidR="006D158F">
        <w:t xml:space="preserve">errors occur due to these mistakes and they affect </w:t>
      </w:r>
      <w:r w:rsidR="00A152CF">
        <w:t xml:space="preserve">both </w:t>
      </w:r>
      <w:r w:rsidR="006D158F">
        <w:t>experienced and beginner</w:t>
      </w:r>
      <w:r w:rsidR="0072382F">
        <w:t>s</w:t>
      </w:r>
      <w:r w:rsidR="006D158F">
        <w:t xml:space="preserve"> </w:t>
      </w:r>
      <w:r w:rsidR="00A152CF">
        <w:t>alike</w:t>
      </w:r>
      <w:r w:rsidR="006D158F">
        <w:t xml:space="preserve">, though experienced programmers </w:t>
      </w:r>
      <w:r w:rsidR="00A152CF">
        <w:t xml:space="preserve">tend to </w:t>
      </w:r>
      <w:r w:rsidR="006D158F">
        <w:t>get these errors less often.</w:t>
      </w:r>
    </w:p>
    <w:p w14:paraId="6BFF301B" w14:textId="0F3FFB2E" w:rsidR="00CA6E07" w:rsidRDefault="00CA6E07" w:rsidP="00251DE8">
      <w:pPr>
        <w:pStyle w:val="ListParagraph"/>
        <w:numPr>
          <w:ilvl w:val="0"/>
          <w:numId w:val="2"/>
        </w:numPr>
      </w:pPr>
      <w:r>
        <w:t>To install Superviolin, open up the terminal or Anaconda Prompt and enter:</w:t>
      </w:r>
    </w:p>
    <w:p w14:paraId="6DDD1DC7" w14:textId="03D72B6D" w:rsidR="00CA6E07" w:rsidRPr="0072382F" w:rsidRDefault="00CA6E07" w:rsidP="00CA6E07">
      <w:pPr>
        <w:jc w:val="center"/>
        <w:rPr>
          <w:rFonts w:ascii="Courier New" w:hAnsi="Courier New" w:cs="Courier New"/>
          <w:iCs/>
        </w:rPr>
      </w:pPr>
      <w:r w:rsidRPr="0072382F">
        <w:rPr>
          <w:rFonts w:ascii="Courier New" w:hAnsi="Courier New" w:cs="Courier New"/>
          <w:iCs/>
        </w:rPr>
        <w:t>pip install superviolin</w:t>
      </w:r>
    </w:p>
    <w:p w14:paraId="70A996B0" w14:textId="6D816744" w:rsidR="00CA6E07" w:rsidRDefault="00CA6E07" w:rsidP="00CA6E07">
      <w:r>
        <w:t>The package manager will</w:t>
      </w:r>
      <w:r w:rsidR="00752E72">
        <w:t xml:space="preserve"> list the dependencies required and install them for you.</w:t>
      </w:r>
      <w:r>
        <w:t xml:space="preserve"> Once you see a message stating superviolin </w:t>
      </w:r>
      <w:r w:rsidR="00FB31F8">
        <w:t xml:space="preserve">was </w:t>
      </w:r>
      <w:r>
        <w:t>successfully installed, you can proceed to the next section and try out the package with your data.</w:t>
      </w:r>
    </w:p>
    <w:p w14:paraId="3B953C4F" w14:textId="57DF562D" w:rsidR="00CA6E07" w:rsidRDefault="00CA6E07" w:rsidP="00CA6E07"/>
    <w:p w14:paraId="7CB64818" w14:textId="77777777" w:rsidR="006F02BA" w:rsidRDefault="006F02BA" w:rsidP="00CA6E07">
      <w:pPr>
        <w:pStyle w:val="Heading1"/>
        <w:rPr>
          <w:rFonts w:ascii="Arial" w:hAnsi="Arial" w:cs="Arial"/>
          <w:b/>
          <w:color w:val="000000" w:themeColor="text1"/>
          <w:sz w:val="24"/>
          <w:szCs w:val="24"/>
        </w:rPr>
      </w:pPr>
    </w:p>
    <w:p w14:paraId="2DF9DA02" w14:textId="5C5324C4" w:rsidR="00CA6E07" w:rsidRPr="00CA6E07" w:rsidRDefault="00BF1414" w:rsidP="00CA6E07">
      <w:pPr>
        <w:pStyle w:val="Heading1"/>
        <w:rPr>
          <w:rFonts w:ascii="Arial" w:hAnsi="Arial" w:cs="Arial"/>
          <w:b/>
          <w:color w:val="000000" w:themeColor="text1"/>
          <w:sz w:val="24"/>
          <w:szCs w:val="24"/>
        </w:rPr>
      </w:pPr>
      <w:r>
        <w:rPr>
          <w:rFonts w:ascii="Arial" w:hAnsi="Arial" w:cs="Arial"/>
          <w:b/>
          <w:color w:val="000000" w:themeColor="text1"/>
          <w:sz w:val="24"/>
          <w:szCs w:val="24"/>
        </w:rPr>
        <w:t xml:space="preserve">2. </w:t>
      </w:r>
      <w:r w:rsidR="00CA6E07" w:rsidRPr="00CA6E07">
        <w:rPr>
          <w:rFonts w:ascii="Arial" w:hAnsi="Arial" w:cs="Arial"/>
          <w:b/>
          <w:color w:val="000000" w:themeColor="text1"/>
          <w:sz w:val="24"/>
          <w:szCs w:val="24"/>
        </w:rPr>
        <w:t>Superviolin</w:t>
      </w:r>
      <w:r w:rsidR="004624FB">
        <w:rPr>
          <w:rFonts w:ascii="Arial" w:hAnsi="Arial" w:cs="Arial"/>
          <w:b/>
          <w:color w:val="000000" w:themeColor="text1"/>
          <w:sz w:val="24"/>
          <w:szCs w:val="24"/>
        </w:rPr>
        <w:t xml:space="preserve"> command overview</w:t>
      </w:r>
    </w:p>
    <w:p w14:paraId="791BDE8A" w14:textId="4FCC5535" w:rsidR="004624FB" w:rsidRDefault="004624FB" w:rsidP="00E02E99"/>
    <w:p w14:paraId="58CC0C47" w14:textId="77777777" w:rsidR="00233C3C" w:rsidRDefault="00233C3C" w:rsidP="00E02E99">
      <w:r>
        <w:t>The superviolin CLI has 3 commands:</w:t>
      </w:r>
    </w:p>
    <w:p w14:paraId="5C7BDC31" w14:textId="64943D6D" w:rsidR="00233C3C" w:rsidRPr="00E27EB1" w:rsidRDefault="00233C3C" w:rsidP="00233C3C">
      <w:pPr>
        <w:pStyle w:val="Heading2"/>
        <w:rPr>
          <w:rFonts w:ascii="Arial" w:hAnsi="Arial" w:cs="Arial"/>
          <w:b/>
          <w:color w:val="000000" w:themeColor="text1"/>
          <w:sz w:val="24"/>
          <w:szCs w:val="24"/>
        </w:rPr>
      </w:pPr>
      <w:r w:rsidRPr="00E27EB1">
        <w:rPr>
          <w:rFonts w:ascii="Arial" w:hAnsi="Arial" w:cs="Arial"/>
          <w:b/>
          <w:color w:val="000000" w:themeColor="text1"/>
          <w:sz w:val="24"/>
          <w:szCs w:val="24"/>
        </w:rPr>
        <w:t>demo</w:t>
      </w:r>
    </w:p>
    <w:p w14:paraId="183BAB93" w14:textId="28AF9422" w:rsidR="00F730D0" w:rsidRDefault="00233C3C" w:rsidP="00233C3C">
      <w:r>
        <w:t xml:space="preserve">This command creates a </w:t>
      </w:r>
      <w:r w:rsidR="00634BD0">
        <w:t>Violin SuperPlot using dummy data that ships with the package</w:t>
      </w:r>
      <w:r w:rsidR="000F5EF7">
        <w:t>.</w:t>
      </w:r>
      <w:r w:rsidR="00FB3710">
        <w:t xml:space="preserve"> Run </w:t>
      </w:r>
      <w:r w:rsidR="004624FB" w:rsidRPr="004C5252">
        <w:rPr>
          <w:rFonts w:ascii="Courier New" w:hAnsi="Courier New" w:cs="Courier New"/>
        </w:rPr>
        <w:t>superviolin demo</w:t>
      </w:r>
      <w:r w:rsidR="004624FB">
        <w:t xml:space="preserve"> from your command prompt </w:t>
      </w:r>
      <w:r w:rsidR="00FB3710">
        <w:t xml:space="preserve">after installation to be sure the package is working. </w:t>
      </w:r>
      <w:r w:rsidR="00F730D0">
        <w:t xml:space="preserve">It should generate a figure similar to </w:t>
      </w:r>
      <w:r w:rsidR="00C576B1" w:rsidRPr="00C576B1">
        <w:rPr>
          <w:b/>
          <w:bCs/>
        </w:rPr>
        <w:t>F</w:t>
      </w:r>
      <w:r w:rsidR="00F730D0" w:rsidRPr="00C576B1">
        <w:rPr>
          <w:b/>
          <w:bCs/>
        </w:rPr>
        <w:t xml:space="preserve">igure </w:t>
      </w:r>
      <w:r w:rsidR="00E6140B">
        <w:rPr>
          <w:b/>
          <w:bCs/>
        </w:rPr>
        <w:t>1</w:t>
      </w:r>
      <w:r w:rsidR="00F730D0">
        <w:t xml:space="preserve"> below. </w:t>
      </w:r>
      <w:r w:rsidR="00FB3710">
        <w:t xml:space="preserve">If you get an error, please contact </w:t>
      </w:r>
      <w:r w:rsidR="004C5252">
        <w:t xml:space="preserve">Martin </w:t>
      </w:r>
      <w:r w:rsidR="00310FAD">
        <w:t xml:space="preserve">Kenny </w:t>
      </w:r>
      <w:r w:rsidR="004C5252">
        <w:t xml:space="preserve">at </w:t>
      </w:r>
      <w:hyperlink r:id="rId11" w:history="1">
        <w:r w:rsidR="000C3BD5" w:rsidRPr="00F95FD4">
          <w:rPr>
            <w:rStyle w:val="Hyperlink"/>
          </w:rPr>
          <w:t>mkenny5@tcd.ie</w:t>
        </w:r>
      </w:hyperlink>
      <w:r w:rsidR="000C3BD5">
        <w:t xml:space="preserve"> </w:t>
      </w:r>
      <w:r w:rsidR="00FB3710">
        <w:t>to report your issue so that it can be corrected.</w:t>
      </w:r>
    </w:p>
    <w:p w14:paraId="52F967E0" w14:textId="6CD5C0B1" w:rsidR="00233C3C" w:rsidRPr="00E27EB1" w:rsidRDefault="00233C3C" w:rsidP="00233C3C">
      <w:pPr>
        <w:pStyle w:val="Heading2"/>
        <w:rPr>
          <w:rFonts w:ascii="Arial" w:hAnsi="Arial" w:cs="Arial"/>
          <w:b/>
          <w:color w:val="000000" w:themeColor="text1"/>
          <w:sz w:val="24"/>
          <w:szCs w:val="24"/>
        </w:rPr>
      </w:pPr>
      <w:r w:rsidRPr="00E27EB1">
        <w:rPr>
          <w:rFonts w:ascii="Arial" w:hAnsi="Arial" w:cs="Arial"/>
          <w:b/>
          <w:color w:val="000000" w:themeColor="text1"/>
          <w:sz w:val="24"/>
          <w:szCs w:val="24"/>
        </w:rPr>
        <w:t>init</w:t>
      </w:r>
    </w:p>
    <w:p w14:paraId="66B1DFE1" w14:textId="29B3F4DD" w:rsidR="00C042AF" w:rsidRDefault="00634BD0" w:rsidP="00634BD0">
      <w:r>
        <w:t>Th</w:t>
      </w:r>
      <w:r w:rsidR="0072382F">
        <w:t xml:space="preserve">e </w:t>
      </w:r>
      <w:r w:rsidR="0072382F" w:rsidRPr="004C5252">
        <w:rPr>
          <w:rFonts w:ascii="Courier New" w:hAnsi="Courier New" w:cs="Courier New"/>
        </w:rPr>
        <w:t xml:space="preserve">superviolin </w:t>
      </w:r>
      <w:r w:rsidR="0072382F">
        <w:rPr>
          <w:rFonts w:ascii="Courier New" w:hAnsi="Courier New" w:cs="Courier New"/>
        </w:rPr>
        <w:t>init</w:t>
      </w:r>
      <w:r>
        <w:t xml:space="preserve"> command generates an </w:t>
      </w:r>
      <w:r w:rsidR="0072382F">
        <w:t>‘</w:t>
      </w:r>
      <w:r>
        <w:t>args.txt</w:t>
      </w:r>
      <w:r w:rsidR="0072382F">
        <w:t>’</w:t>
      </w:r>
      <w:r>
        <w:t xml:space="preserve"> file in the current directory, which will be used to generate a Violin SuperPl</w:t>
      </w:r>
      <w:r w:rsidR="00A152CF">
        <w:t>ot based on the E</w:t>
      </w:r>
      <w:r>
        <w:t>xcel or csv file of your data located in the same folder</w:t>
      </w:r>
      <w:r w:rsidR="009071BF">
        <w:t xml:space="preserve"> using arguments specified in this text file</w:t>
      </w:r>
      <w:r w:rsidR="000F5EF7">
        <w:t>.</w:t>
      </w:r>
    </w:p>
    <w:p w14:paraId="18D90514" w14:textId="056CD332" w:rsidR="00233C3C" w:rsidRPr="00E27EB1" w:rsidRDefault="00233C3C" w:rsidP="00233C3C">
      <w:pPr>
        <w:pStyle w:val="Heading2"/>
        <w:rPr>
          <w:rFonts w:ascii="Arial" w:hAnsi="Arial" w:cs="Arial"/>
          <w:b/>
          <w:color w:val="000000" w:themeColor="text1"/>
          <w:sz w:val="24"/>
          <w:szCs w:val="24"/>
        </w:rPr>
      </w:pPr>
      <w:r w:rsidRPr="00E27EB1">
        <w:rPr>
          <w:rFonts w:ascii="Arial" w:hAnsi="Arial" w:cs="Arial"/>
          <w:b/>
          <w:color w:val="000000" w:themeColor="text1"/>
          <w:sz w:val="24"/>
          <w:szCs w:val="24"/>
        </w:rPr>
        <w:t>plot</w:t>
      </w:r>
    </w:p>
    <w:p w14:paraId="60B64398" w14:textId="796E9CBF" w:rsidR="00F730D0" w:rsidRDefault="00634BD0" w:rsidP="00233C3C">
      <w:r>
        <w:t>Th</w:t>
      </w:r>
      <w:r w:rsidR="0072382F">
        <w:t>e</w:t>
      </w:r>
      <w:r>
        <w:t xml:space="preserve"> </w:t>
      </w:r>
      <w:r w:rsidR="0072382F" w:rsidRPr="004C5252">
        <w:rPr>
          <w:rFonts w:ascii="Courier New" w:hAnsi="Courier New" w:cs="Courier New"/>
          <w:iCs/>
        </w:rPr>
        <w:t xml:space="preserve">superviolin </w:t>
      </w:r>
      <w:r w:rsidR="0072382F">
        <w:rPr>
          <w:rFonts w:ascii="Courier New" w:hAnsi="Courier New" w:cs="Courier New"/>
          <w:iCs/>
        </w:rPr>
        <w:t>plot</w:t>
      </w:r>
      <w:r w:rsidR="0072382F" w:rsidRPr="00474731">
        <w:rPr>
          <w:i/>
        </w:rPr>
        <w:t xml:space="preserve"> </w:t>
      </w:r>
      <w:r>
        <w:t xml:space="preserve">command </w:t>
      </w:r>
      <w:r w:rsidR="000F5EF7">
        <w:t>renders</w:t>
      </w:r>
      <w:r>
        <w:t xml:space="preserve"> the Violin SuperPlot</w:t>
      </w:r>
      <w:r w:rsidR="004025BA">
        <w:t xml:space="preserve"> as a figure</w:t>
      </w:r>
      <w:r w:rsidR="000F5EF7">
        <w:t>. This</w:t>
      </w:r>
      <w:r>
        <w:t xml:space="preserve"> layout</w:t>
      </w:r>
      <w:r w:rsidR="000F5EF7">
        <w:t xml:space="preserve"> can be edited prior to saving.</w:t>
      </w:r>
    </w:p>
    <w:p w14:paraId="1E1BD438" w14:textId="4B54C18F" w:rsidR="00233C3C" w:rsidRDefault="00233C3C" w:rsidP="00233C3C">
      <w:pPr>
        <w:rPr>
          <w:i/>
        </w:rPr>
      </w:pPr>
      <w:r w:rsidRPr="00474731">
        <w:rPr>
          <w:i/>
        </w:rPr>
        <w:t xml:space="preserve">NOTE: To run any of these commands, enter </w:t>
      </w:r>
      <w:r w:rsidRPr="004C5252">
        <w:rPr>
          <w:rFonts w:ascii="Courier New" w:hAnsi="Courier New" w:cs="Courier New"/>
          <w:iCs/>
        </w:rPr>
        <w:t>superviolin command</w:t>
      </w:r>
      <w:r w:rsidRPr="00474731">
        <w:rPr>
          <w:i/>
        </w:rPr>
        <w:t xml:space="preserve"> into y</w:t>
      </w:r>
      <w:r w:rsidR="00474731">
        <w:rPr>
          <w:i/>
        </w:rPr>
        <w:t>our terminal or Anaconda Prompt.</w:t>
      </w:r>
    </w:p>
    <w:p w14:paraId="047093D1" w14:textId="4FDCFBD1" w:rsidR="00E6140B" w:rsidRDefault="00E6140B" w:rsidP="00E6140B">
      <w:pPr>
        <w:jc w:val="center"/>
      </w:pPr>
      <w:r w:rsidRPr="009A474E">
        <w:rPr>
          <w:noProof/>
          <w:lang w:val="en-US"/>
        </w:rPr>
        <w:drawing>
          <wp:inline distT="0" distB="0" distL="0" distR="0" wp14:anchorId="1DCFCE65" wp14:editId="44C8366E">
            <wp:extent cx="2103120" cy="2035161"/>
            <wp:effectExtent l="0" t="0" r="0" b="3810"/>
            <wp:docPr id="4" name="Picture 4" descr="C:\Users\martinkenny\OneDrive - Royal College of Surgeons in Ireland\Documents\Writing\My papers\Superplot letter\supp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kenny\OneDrive - Royal College of Surgeons in Ireland\Documents\Writing\My papers\Superplot letter\supp_1a.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22" t="9712" r="3991" b="10315"/>
                    <a:stretch/>
                  </pic:blipFill>
                  <pic:spPr bwMode="auto">
                    <a:xfrm>
                      <a:off x="0" y="0"/>
                      <a:ext cx="2119420" cy="2050934"/>
                    </a:xfrm>
                    <a:prstGeom prst="rect">
                      <a:avLst/>
                    </a:prstGeom>
                    <a:noFill/>
                    <a:ln>
                      <a:noFill/>
                    </a:ln>
                    <a:extLst>
                      <a:ext uri="{53640926-AAD7-44D8-BBD7-CCE9431645EC}">
                        <a14:shadowObscured xmlns:a14="http://schemas.microsoft.com/office/drawing/2010/main"/>
                      </a:ext>
                    </a:extLst>
                  </pic:spPr>
                </pic:pic>
              </a:graphicData>
            </a:graphic>
          </wp:inline>
        </w:drawing>
      </w:r>
    </w:p>
    <w:p w14:paraId="6DE35D90" w14:textId="0BBA1A82" w:rsidR="00E6140B" w:rsidRPr="002765F7" w:rsidRDefault="00E6140B" w:rsidP="00E6140B">
      <w:pPr>
        <w:jc w:val="center"/>
        <w:rPr>
          <w:i/>
          <w:iCs/>
          <w:sz w:val="22"/>
        </w:rPr>
      </w:pPr>
      <w:r w:rsidRPr="002765F7">
        <w:rPr>
          <w:b/>
          <w:bCs/>
          <w:sz w:val="22"/>
        </w:rPr>
        <w:t xml:space="preserve">Figure </w:t>
      </w:r>
      <w:r>
        <w:rPr>
          <w:b/>
          <w:bCs/>
          <w:sz w:val="22"/>
        </w:rPr>
        <w:t>1</w:t>
      </w:r>
      <w:r w:rsidRPr="002765F7">
        <w:rPr>
          <w:b/>
          <w:bCs/>
          <w:sz w:val="22"/>
        </w:rPr>
        <w:t>.</w:t>
      </w:r>
      <w:r w:rsidRPr="002765F7">
        <w:rPr>
          <w:sz w:val="22"/>
        </w:rPr>
        <w:t xml:space="preserve"> </w:t>
      </w:r>
      <w:r w:rsidRPr="002765F7">
        <w:rPr>
          <w:i/>
          <w:iCs/>
          <w:sz w:val="22"/>
        </w:rPr>
        <w:t xml:space="preserve">Violin Superplot </w:t>
      </w:r>
      <w:r>
        <w:rPr>
          <w:i/>
          <w:iCs/>
          <w:sz w:val="22"/>
        </w:rPr>
        <w:t xml:space="preserve">generated by the </w:t>
      </w:r>
      <w:r w:rsidRPr="00E6140B">
        <w:rPr>
          <w:rFonts w:ascii="Courier New" w:hAnsi="Courier New" w:cs="Courier New"/>
          <w:sz w:val="22"/>
        </w:rPr>
        <w:t>demo</w:t>
      </w:r>
      <w:r>
        <w:rPr>
          <w:i/>
          <w:iCs/>
          <w:sz w:val="22"/>
        </w:rPr>
        <w:t xml:space="preserve"> command.</w:t>
      </w:r>
    </w:p>
    <w:p w14:paraId="246EB30F" w14:textId="3B0428E4" w:rsidR="004624FB" w:rsidRDefault="004624FB" w:rsidP="004624FB">
      <w:pPr>
        <w:rPr>
          <w:b/>
        </w:rPr>
      </w:pPr>
      <w:r>
        <w:rPr>
          <w:b/>
        </w:rPr>
        <w:t>3. Generating</w:t>
      </w:r>
      <w:r w:rsidR="00DB110B">
        <w:rPr>
          <w:b/>
        </w:rPr>
        <w:t xml:space="preserve"> a</w:t>
      </w:r>
      <w:r>
        <w:rPr>
          <w:b/>
        </w:rPr>
        <w:t xml:space="preserve"> Violin SuperPlot</w:t>
      </w:r>
    </w:p>
    <w:p w14:paraId="4C034710" w14:textId="12621179" w:rsidR="004624FB" w:rsidRDefault="004624FB" w:rsidP="004624FB">
      <w:r>
        <w:t>Superviolin comes with a command-line interface (CLI) so you can generate SuperPlots using the terminal or Anaconda Prompt. You can also import the “superplot” class into your Python scripts and extend its functionality to create your own specific brand of Violin SuperPlot, but first, let’s understand how it works. This section contains a simple how-to for non-programmers.</w:t>
      </w:r>
    </w:p>
    <w:p w14:paraId="6F86C4FB" w14:textId="09B59082" w:rsidR="000E2CE5" w:rsidRDefault="004624FB" w:rsidP="00B0684E">
      <w:pPr>
        <w:pStyle w:val="ListParagraph"/>
        <w:numPr>
          <w:ilvl w:val="0"/>
          <w:numId w:val="5"/>
        </w:numPr>
      </w:pPr>
      <w:r>
        <w:t xml:space="preserve">Prepare your data as a </w:t>
      </w:r>
      <w:r w:rsidR="000E2CE5">
        <w:t>comma separated value (</w:t>
      </w:r>
      <w:r>
        <w:t>*.csv</w:t>
      </w:r>
      <w:r w:rsidR="000E2CE5">
        <w:t>)</w:t>
      </w:r>
      <w:r>
        <w:t xml:space="preserve"> or Excel </w:t>
      </w:r>
      <w:r w:rsidR="000E2CE5">
        <w:t xml:space="preserve">spreadsheet </w:t>
      </w:r>
      <w:r>
        <w:t>file</w:t>
      </w:r>
      <w:r w:rsidR="00D6330B">
        <w:t xml:space="preserve"> and p</w:t>
      </w:r>
      <w:r>
        <w:t>lace it into an empty folder.</w:t>
      </w:r>
      <w:r w:rsidR="00D6330B">
        <w:t xml:space="preserve"> The data should be </w:t>
      </w:r>
      <w:r w:rsidR="0048197F">
        <w:t xml:space="preserve">arranged in </w:t>
      </w:r>
      <w:r w:rsidR="00922747">
        <w:t xml:space="preserve">either (A) </w:t>
      </w:r>
      <w:r w:rsidR="0048197F">
        <w:t>the tidy data format</w:t>
      </w:r>
      <w:r w:rsidR="00922747">
        <w:t xml:space="preserve"> </w:t>
      </w:r>
      <w:r w:rsidR="00C576B1">
        <w:t xml:space="preserve">(see </w:t>
      </w:r>
      <w:r w:rsidR="00C576B1" w:rsidRPr="002765F7">
        <w:rPr>
          <w:b/>
        </w:rPr>
        <w:t>Table 1</w:t>
      </w:r>
      <w:r w:rsidR="00C576B1">
        <w:t>)</w:t>
      </w:r>
      <w:r w:rsidR="0048197F">
        <w:t xml:space="preserve"> where you have a column for each variable</w:t>
      </w:r>
      <w:r w:rsidR="00C576B1">
        <w:t>/property</w:t>
      </w:r>
      <w:r w:rsidR="0048197F">
        <w:t xml:space="preserve"> and a row for each observation</w:t>
      </w:r>
      <w:r w:rsidR="00922747">
        <w:t xml:space="preserve">, or (B) </w:t>
      </w:r>
      <w:r w:rsidR="00A27809">
        <w:t xml:space="preserve">‘untidy’ data in </w:t>
      </w:r>
      <w:r w:rsidR="00922747">
        <w:t xml:space="preserve">an Excel workbook where each </w:t>
      </w:r>
      <w:r w:rsidR="000E2CE5">
        <w:t>spread</w:t>
      </w:r>
      <w:r w:rsidR="00922747">
        <w:t>sheet is an experimental replicate containing columns for each condition</w:t>
      </w:r>
      <w:r w:rsidR="00C576B1">
        <w:t xml:space="preserve"> (see </w:t>
      </w:r>
      <w:r w:rsidR="00C576B1" w:rsidRPr="002765F7">
        <w:rPr>
          <w:b/>
          <w:bCs/>
        </w:rPr>
        <w:t xml:space="preserve">Figure </w:t>
      </w:r>
      <w:r w:rsidR="00E6140B">
        <w:rPr>
          <w:b/>
          <w:bCs/>
        </w:rPr>
        <w:t>2</w:t>
      </w:r>
      <w:r w:rsidR="00C576B1">
        <w:t>)</w:t>
      </w:r>
      <w:r w:rsidR="00A27809">
        <w:t xml:space="preserve">. </w:t>
      </w:r>
    </w:p>
    <w:p w14:paraId="6257098A" w14:textId="4085F727" w:rsidR="000E2CE5" w:rsidRDefault="000E2CE5" w:rsidP="000E2CE5">
      <w:pPr>
        <w:pStyle w:val="ListParagraph"/>
      </w:pPr>
      <w:r w:rsidRPr="000E2CE5">
        <w:t xml:space="preserve">(A) </w:t>
      </w:r>
      <w:r w:rsidR="00A27809" w:rsidRPr="00A27809">
        <w:rPr>
          <w:u w:val="single"/>
        </w:rPr>
        <w:t>For tidy data</w:t>
      </w:r>
      <w:r w:rsidR="00A27809">
        <w:t>, t</w:t>
      </w:r>
      <w:r w:rsidR="0061359F">
        <w:t>h</w:t>
      </w:r>
      <w:r w:rsidR="00D66944">
        <w:t xml:space="preserve">e </w:t>
      </w:r>
      <w:r w:rsidR="00D66944" w:rsidRPr="002765F7">
        <w:rPr>
          <w:i/>
        </w:rPr>
        <w:t>Condition</w:t>
      </w:r>
      <w:r w:rsidR="0061359F">
        <w:t xml:space="preserve"> column specifies if an observation belongs to </w:t>
      </w:r>
      <w:r w:rsidR="00C92679">
        <w:t xml:space="preserve">a different </w:t>
      </w:r>
      <w:r w:rsidR="0061359F">
        <w:t>condition</w:t>
      </w:r>
      <w:r w:rsidR="00C92679">
        <w:t xml:space="preserve"> (control vs drug, different drug concentrations, wild type vs mutant, etc.)</w:t>
      </w:r>
      <w:r w:rsidR="00D66944">
        <w:t xml:space="preserve">, the </w:t>
      </w:r>
      <w:r w:rsidR="00D66944" w:rsidRPr="002765F7">
        <w:rPr>
          <w:i/>
        </w:rPr>
        <w:t>Value</w:t>
      </w:r>
      <w:r w:rsidR="0061359F">
        <w:t xml:space="preserve"> colum</w:t>
      </w:r>
      <w:r w:rsidR="00C92679">
        <w:t>n(s)</w:t>
      </w:r>
      <w:r w:rsidR="0061359F">
        <w:t xml:space="preserve"> specif</w:t>
      </w:r>
      <w:r w:rsidR="00C92679">
        <w:t>y</w:t>
      </w:r>
      <w:r w:rsidR="0061359F">
        <w:t xml:space="preserve"> the value</w:t>
      </w:r>
      <w:r w:rsidR="00C92679">
        <w:t>(s)</w:t>
      </w:r>
      <w:r w:rsidR="0061359F">
        <w:t xml:space="preserve"> of the measured variable</w:t>
      </w:r>
      <w:r w:rsidR="00C92679">
        <w:t>(s) (spreading area, circularity, intensity, etc.)</w:t>
      </w:r>
      <w:r w:rsidR="00D66944">
        <w:t xml:space="preserve">, and the </w:t>
      </w:r>
      <w:r w:rsidR="00D66944" w:rsidRPr="002765F7">
        <w:rPr>
          <w:i/>
        </w:rPr>
        <w:t>R</w:t>
      </w:r>
      <w:r w:rsidR="0061359F" w:rsidRPr="002765F7">
        <w:rPr>
          <w:i/>
        </w:rPr>
        <w:t>eplicate</w:t>
      </w:r>
      <w:r w:rsidR="0061359F">
        <w:t xml:space="preserve"> column specifies which replicate the observation is from </w:t>
      </w:r>
      <w:r w:rsidR="00C92679">
        <w:t>(</w:t>
      </w:r>
      <w:r w:rsidR="0061359F">
        <w:t>donor ID</w:t>
      </w:r>
      <w:r w:rsidR="00C92679">
        <w:t>, date, well, etc.)</w:t>
      </w:r>
      <w:r w:rsidR="00420DDB">
        <w:t>.</w:t>
      </w:r>
    </w:p>
    <w:tbl>
      <w:tblPr>
        <w:tblStyle w:val="ListTable1Light"/>
        <w:tblW w:w="0" w:type="auto"/>
        <w:jc w:val="center"/>
        <w:tblLayout w:type="fixed"/>
        <w:tblLook w:val="04A0" w:firstRow="1" w:lastRow="0" w:firstColumn="1" w:lastColumn="0" w:noHBand="0" w:noVBand="1"/>
      </w:tblPr>
      <w:tblGrid>
        <w:gridCol w:w="1890"/>
        <w:gridCol w:w="224"/>
        <w:gridCol w:w="699"/>
        <w:gridCol w:w="247"/>
        <w:gridCol w:w="1335"/>
        <w:gridCol w:w="2625"/>
      </w:tblGrid>
      <w:tr w:rsidR="000E2CE5" w:rsidRPr="00336C66" w14:paraId="1CDCA3C1" w14:textId="77777777" w:rsidTr="003961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12CCA17D" w14:textId="77777777" w:rsidR="000E2CE5" w:rsidRPr="00336C66" w:rsidRDefault="000E2CE5" w:rsidP="00396142">
            <w:pPr>
              <w:jc w:val="center"/>
              <w:rPr>
                <w:sz w:val="22"/>
                <w:szCs w:val="20"/>
              </w:rPr>
            </w:pPr>
            <w:r w:rsidRPr="00336C66">
              <w:rPr>
                <w:sz w:val="22"/>
                <w:szCs w:val="20"/>
              </w:rPr>
              <w:t>Condition</w:t>
            </w:r>
          </w:p>
        </w:tc>
        <w:tc>
          <w:tcPr>
            <w:tcW w:w="1170" w:type="dxa"/>
            <w:gridSpan w:val="3"/>
          </w:tcPr>
          <w:p w14:paraId="4F5BFF5E" w14:textId="77777777" w:rsidR="000E2CE5" w:rsidRPr="00336C66" w:rsidRDefault="000E2CE5" w:rsidP="00396142">
            <w:pPr>
              <w:jc w:val="center"/>
              <w:cnfStyle w:val="100000000000" w:firstRow="1" w:lastRow="0" w:firstColumn="0" w:lastColumn="0" w:oddVBand="0" w:evenVBand="0" w:oddHBand="0" w:evenHBand="0" w:firstRowFirstColumn="0" w:firstRowLastColumn="0" w:lastRowFirstColumn="0" w:lastRowLastColumn="0"/>
              <w:rPr>
                <w:sz w:val="22"/>
                <w:szCs w:val="20"/>
              </w:rPr>
            </w:pPr>
            <w:r w:rsidRPr="00336C66">
              <w:rPr>
                <w:sz w:val="22"/>
                <w:szCs w:val="20"/>
              </w:rPr>
              <w:t>Area</w:t>
            </w:r>
          </w:p>
        </w:tc>
        <w:tc>
          <w:tcPr>
            <w:tcW w:w="1335" w:type="dxa"/>
          </w:tcPr>
          <w:p w14:paraId="17609384" w14:textId="77777777" w:rsidR="000E2CE5" w:rsidRPr="00336C66" w:rsidRDefault="000E2CE5" w:rsidP="00396142">
            <w:pPr>
              <w:jc w:val="center"/>
              <w:cnfStyle w:val="100000000000" w:firstRow="1" w:lastRow="0" w:firstColumn="0" w:lastColumn="0" w:oddVBand="0" w:evenVBand="0" w:oddHBand="0" w:evenHBand="0" w:firstRowFirstColumn="0" w:firstRowLastColumn="0" w:lastRowFirstColumn="0" w:lastRowLastColumn="0"/>
              <w:rPr>
                <w:sz w:val="22"/>
                <w:szCs w:val="20"/>
              </w:rPr>
            </w:pPr>
            <w:r w:rsidRPr="00336C66">
              <w:rPr>
                <w:sz w:val="22"/>
                <w:szCs w:val="20"/>
              </w:rPr>
              <w:t>Ellipticity</w:t>
            </w:r>
          </w:p>
        </w:tc>
        <w:tc>
          <w:tcPr>
            <w:tcW w:w="2625" w:type="dxa"/>
          </w:tcPr>
          <w:p w14:paraId="6F07E4AD" w14:textId="77777777" w:rsidR="000E2CE5" w:rsidRPr="00336C66" w:rsidRDefault="000E2CE5" w:rsidP="00396142">
            <w:pPr>
              <w:jc w:val="center"/>
              <w:cnfStyle w:val="100000000000" w:firstRow="1" w:lastRow="0" w:firstColumn="0" w:lastColumn="0" w:oddVBand="0" w:evenVBand="0" w:oddHBand="0" w:evenHBand="0" w:firstRowFirstColumn="0" w:firstRowLastColumn="0" w:lastRowFirstColumn="0" w:lastRowLastColumn="0"/>
              <w:rPr>
                <w:sz w:val="22"/>
                <w:szCs w:val="20"/>
              </w:rPr>
            </w:pPr>
            <w:r w:rsidRPr="00336C66">
              <w:rPr>
                <w:sz w:val="22"/>
                <w:szCs w:val="20"/>
              </w:rPr>
              <w:t>Replicate</w:t>
            </w:r>
          </w:p>
        </w:tc>
      </w:tr>
      <w:tr w:rsidR="000E2CE5" w:rsidRPr="00336C66" w14:paraId="232609A0"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5782F3F6"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55D5FDD5"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25.2</w:t>
            </w:r>
          </w:p>
        </w:tc>
        <w:tc>
          <w:tcPr>
            <w:tcW w:w="1582" w:type="dxa"/>
            <w:gridSpan w:val="2"/>
          </w:tcPr>
          <w:p w14:paraId="0D77A993"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1.434</w:t>
            </w:r>
          </w:p>
        </w:tc>
        <w:tc>
          <w:tcPr>
            <w:tcW w:w="2625" w:type="dxa"/>
          </w:tcPr>
          <w:p w14:paraId="42B13409"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Donor 1</w:t>
            </w:r>
          </w:p>
        </w:tc>
      </w:tr>
      <w:tr w:rsidR="000E2CE5" w:rsidRPr="00336C66" w14:paraId="49B8DEC4"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054BF620"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4E2DE98A"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17.1</w:t>
            </w:r>
          </w:p>
        </w:tc>
        <w:tc>
          <w:tcPr>
            <w:tcW w:w="1582" w:type="dxa"/>
            <w:gridSpan w:val="2"/>
          </w:tcPr>
          <w:p w14:paraId="52652AA6"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1.017</w:t>
            </w:r>
          </w:p>
        </w:tc>
        <w:tc>
          <w:tcPr>
            <w:tcW w:w="2625" w:type="dxa"/>
          </w:tcPr>
          <w:p w14:paraId="0E220224"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1</w:t>
            </w:r>
          </w:p>
        </w:tc>
      </w:tr>
      <w:tr w:rsidR="000E2CE5" w:rsidRPr="00336C66" w14:paraId="1BB7C45E"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5446EE2D"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402C208B"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32.3</w:t>
            </w:r>
          </w:p>
        </w:tc>
        <w:tc>
          <w:tcPr>
            <w:tcW w:w="1582" w:type="dxa"/>
            <w:gridSpan w:val="2"/>
          </w:tcPr>
          <w:p w14:paraId="77E9596C"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1.157</w:t>
            </w:r>
          </w:p>
        </w:tc>
        <w:tc>
          <w:tcPr>
            <w:tcW w:w="2625" w:type="dxa"/>
          </w:tcPr>
          <w:p w14:paraId="4E1877C6"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Donor 1</w:t>
            </w:r>
          </w:p>
        </w:tc>
      </w:tr>
      <w:tr w:rsidR="000E2CE5" w:rsidRPr="00336C66" w14:paraId="04630CCA"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73F51107"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1B9B334E"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29.7</w:t>
            </w:r>
          </w:p>
        </w:tc>
        <w:tc>
          <w:tcPr>
            <w:tcW w:w="1582" w:type="dxa"/>
            <w:gridSpan w:val="2"/>
          </w:tcPr>
          <w:p w14:paraId="2C0BF142"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1.481</w:t>
            </w:r>
          </w:p>
        </w:tc>
        <w:tc>
          <w:tcPr>
            <w:tcW w:w="2625" w:type="dxa"/>
          </w:tcPr>
          <w:p w14:paraId="6133341C"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1</w:t>
            </w:r>
          </w:p>
        </w:tc>
      </w:tr>
      <w:tr w:rsidR="000E2CE5" w:rsidRPr="00336C66" w14:paraId="13A4B7DC"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66EE4319" w14:textId="77777777" w:rsidR="000E2CE5" w:rsidRPr="00336C66" w:rsidRDefault="000E2CE5" w:rsidP="00396142">
            <w:pPr>
              <w:jc w:val="center"/>
              <w:rPr>
                <w:b w:val="0"/>
                <w:sz w:val="22"/>
                <w:szCs w:val="20"/>
              </w:rPr>
            </w:pPr>
            <w:r w:rsidRPr="00336C66">
              <w:rPr>
                <w:b w:val="0"/>
                <w:sz w:val="22"/>
                <w:szCs w:val="20"/>
              </w:rPr>
              <w:t>…</w:t>
            </w:r>
          </w:p>
        </w:tc>
        <w:tc>
          <w:tcPr>
            <w:tcW w:w="699" w:type="dxa"/>
          </w:tcPr>
          <w:p w14:paraId="5D910C3E"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1582" w:type="dxa"/>
            <w:gridSpan w:val="2"/>
          </w:tcPr>
          <w:p w14:paraId="208F9186"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2625" w:type="dxa"/>
          </w:tcPr>
          <w:p w14:paraId="3ECE83D7"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r>
      <w:tr w:rsidR="000E2CE5" w:rsidRPr="00336C66" w14:paraId="06D8176E"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312E23DA" w14:textId="77777777" w:rsidR="000E2CE5" w:rsidRPr="00336C66" w:rsidRDefault="000E2CE5" w:rsidP="00396142">
            <w:pPr>
              <w:jc w:val="center"/>
              <w:rPr>
                <w:b w:val="0"/>
                <w:sz w:val="22"/>
                <w:szCs w:val="20"/>
              </w:rPr>
            </w:pPr>
            <w:r w:rsidRPr="00336C66">
              <w:rPr>
                <w:b w:val="0"/>
                <w:sz w:val="22"/>
                <w:szCs w:val="20"/>
              </w:rPr>
              <w:t>Drug</w:t>
            </w:r>
          </w:p>
        </w:tc>
        <w:tc>
          <w:tcPr>
            <w:tcW w:w="699" w:type="dxa"/>
          </w:tcPr>
          <w:p w14:paraId="52222D1F"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26.6</w:t>
            </w:r>
          </w:p>
        </w:tc>
        <w:tc>
          <w:tcPr>
            <w:tcW w:w="1582" w:type="dxa"/>
            <w:gridSpan w:val="2"/>
          </w:tcPr>
          <w:p w14:paraId="0429F0AE"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1.418</w:t>
            </w:r>
          </w:p>
        </w:tc>
        <w:tc>
          <w:tcPr>
            <w:tcW w:w="2625" w:type="dxa"/>
          </w:tcPr>
          <w:p w14:paraId="580304B2"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1</w:t>
            </w:r>
          </w:p>
        </w:tc>
      </w:tr>
      <w:tr w:rsidR="000E2CE5" w:rsidRPr="00336C66" w14:paraId="7E247C50"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2B07869E" w14:textId="77777777" w:rsidR="000E2CE5" w:rsidRPr="00336C66" w:rsidRDefault="000E2CE5" w:rsidP="00396142">
            <w:pPr>
              <w:jc w:val="center"/>
              <w:rPr>
                <w:b w:val="0"/>
                <w:sz w:val="22"/>
                <w:szCs w:val="20"/>
              </w:rPr>
            </w:pPr>
            <w:r w:rsidRPr="00336C66">
              <w:rPr>
                <w:b w:val="0"/>
                <w:sz w:val="22"/>
                <w:szCs w:val="20"/>
              </w:rPr>
              <w:t>Drug</w:t>
            </w:r>
          </w:p>
        </w:tc>
        <w:tc>
          <w:tcPr>
            <w:tcW w:w="699" w:type="dxa"/>
          </w:tcPr>
          <w:p w14:paraId="5AC422F4"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12.4</w:t>
            </w:r>
          </w:p>
        </w:tc>
        <w:tc>
          <w:tcPr>
            <w:tcW w:w="1582" w:type="dxa"/>
            <w:gridSpan w:val="2"/>
          </w:tcPr>
          <w:p w14:paraId="317DD664"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1.592</w:t>
            </w:r>
          </w:p>
        </w:tc>
        <w:tc>
          <w:tcPr>
            <w:tcW w:w="2625" w:type="dxa"/>
          </w:tcPr>
          <w:p w14:paraId="43967572"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Donor 1</w:t>
            </w:r>
          </w:p>
        </w:tc>
      </w:tr>
      <w:tr w:rsidR="000E2CE5" w:rsidRPr="00336C66" w14:paraId="40520152"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58C20A76" w14:textId="77777777" w:rsidR="000E2CE5" w:rsidRPr="00336C66" w:rsidRDefault="000E2CE5" w:rsidP="00396142">
            <w:pPr>
              <w:jc w:val="center"/>
              <w:rPr>
                <w:b w:val="0"/>
                <w:sz w:val="22"/>
                <w:szCs w:val="20"/>
              </w:rPr>
            </w:pPr>
            <w:r w:rsidRPr="00336C66">
              <w:rPr>
                <w:b w:val="0"/>
                <w:sz w:val="22"/>
                <w:szCs w:val="20"/>
              </w:rPr>
              <w:t>Drug</w:t>
            </w:r>
          </w:p>
        </w:tc>
        <w:tc>
          <w:tcPr>
            <w:tcW w:w="699" w:type="dxa"/>
          </w:tcPr>
          <w:p w14:paraId="27184562"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22.8</w:t>
            </w:r>
          </w:p>
        </w:tc>
        <w:tc>
          <w:tcPr>
            <w:tcW w:w="1582" w:type="dxa"/>
            <w:gridSpan w:val="2"/>
          </w:tcPr>
          <w:p w14:paraId="692A8562"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1.717</w:t>
            </w:r>
          </w:p>
        </w:tc>
        <w:tc>
          <w:tcPr>
            <w:tcW w:w="2625" w:type="dxa"/>
          </w:tcPr>
          <w:p w14:paraId="1F4BF711"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1</w:t>
            </w:r>
          </w:p>
        </w:tc>
      </w:tr>
      <w:tr w:rsidR="000E2CE5" w:rsidRPr="00336C66" w14:paraId="5F465008"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14BC6A32" w14:textId="77777777" w:rsidR="000E2CE5" w:rsidRPr="00336C66" w:rsidRDefault="000E2CE5" w:rsidP="00396142">
            <w:pPr>
              <w:jc w:val="center"/>
              <w:rPr>
                <w:b w:val="0"/>
                <w:sz w:val="22"/>
                <w:szCs w:val="20"/>
              </w:rPr>
            </w:pPr>
            <w:r w:rsidRPr="00336C66">
              <w:rPr>
                <w:b w:val="0"/>
                <w:sz w:val="22"/>
                <w:szCs w:val="20"/>
              </w:rPr>
              <w:t>…</w:t>
            </w:r>
          </w:p>
        </w:tc>
        <w:tc>
          <w:tcPr>
            <w:tcW w:w="699" w:type="dxa"/>
          </w:tcPr>
          <w:p w14:paraId="1B42B477"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1582" w:type="dxa"/>
            <w:gridSpan w:val="2"/>
          </w:tcPr>
          <w:p w14:paraId="69120AD3"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2625" w:type="dxa"/>
          </w:tcPr>
          <w:p w14:paraId="7436396F"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r>
      <w:tr w:rsidR="000E2CE5" w:rsidRPr="00336C66" w14:paraId="3D35B595"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277934B9"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6FE873AC"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28.9</w:t>
            </w:r>
          </w:p>
        </w:tc>
        <w:tc>
          <w:tcPr>
            <w:tcW w:w="1582" w:type="dxa"/>
            <w:gridSpan w:val="2"/>
          </w:tcPr>
          <w:p w14:paraId="43AA7EDA"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1.481</w:t>
            </w:r>
          </w:p>
        </w:tc>
        <w:tc>
          <w:tcPr>
            <w:tcW w:w="2625" w:type="dxa"/>
          </w:tcPr>
          <w:p w14:paraId="7ED1444A"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2</w:t>
            </w:r>
          </w:p>
        </w:tc>
      </w:tr>
      <w:tr w:rsidR="000E2CE5" w:rsidRPr="00336C66" w14:paraId="7D9EFE17"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5083E1C8"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6E798886"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35.3</w:t>
            </w:r>
          </w:p>
        </w:tc>
        <w:tc>
          <w:tcPr>
            <w:tcW w:w="1582" w:type="dxa"/>
            <w:gridSpan w:val="2"/>
          </w:tcPr>
          <w:p w14:paraId="477778D6"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1.294</w:t>
            </w:r>
          </w:p>
        </w:tc>
        <w:tc>
          <w:tcPr>
            <w:tcW w:w="2625" w:type="dxa"/>
          </w:tcPr>
          <w:p w14:paraId="4D6382D5"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Donor 2</w:t>
            </w:r>
          </w:p>
        </w:tc>
      </w:tr>
      <w:tr w:rsidR="000E2CE5" w:rsidRPr="00336C66" w14:paraId="2CB6CF83"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283909C5" w14:textId="77777777" w:rsidR="000E2CE5" w:rsidRPr="00336C66" w:rsidRDefault="000E2CE5" w:rsidP="00396142">
            <w:pPr>
              <w:jc w:val="center"/>
              <w:rPr>
                <w:b w:val="0"/>
                <w:sz w:val="22"/>
                <w:szCs w:val="20"/>
              </w:rPr>
            </w:pPr>
            <w:r w:rsidRPr="00336C66">
              <w:rPr>
                <w:b w:val="0"/>
                <w:sz w:val="22"/>
                <w:szCs w:val="20"/>
              </w:rPr>
              <w:t>…</w:t>
            </w:r>
          </w:p>
        </w:tc>
        <w:tc>
          <w:tcPr>
            <w:tcW w:w="699" w:type="dxa"/>
          </w:tcPr>
          <w:p w14:paraId="2F388610"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w:t>
            </w:r>
          </w:p>
        </w:tc>
        <w:tc>
          <w:tcPr>
            <w:tcW w:w="1582" w:type="dxa"/>
            <w:gridSpan w:val="2"/>
          </w:tcPr>
          <w:p w14:paraId="267BCFD5"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w:t>
            </w:r>
          </w:p>
        </w:tc>
        <w:tc>
          <w:tcPr>
            <w:tcW w:w="2625" w:type="dxa"/>
          </w:tcPr>
          <w:p w14:paraId="76E0E4CF"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w:t>
            </w:r>
          </w:p>
        </w:tc>
      </w:tr>
      <w:tr w:rsidR="000E2CE5" w:rsidRPr="00336C66" w14:paraId="03C008DD"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7C43A73B" w14:textId="77777777" w:rsidR="000E2CE5" w:rsidRPr="00336C66" w:rsidRDefault="000E2CE5" w:rsidP="00396142">
            <w:pPr>
              <w:jc w:val="center"/>
              <w:rPr>
                <w:b w:val="0"/>
                <w:sz w:val="22"/>
                <w:szCs w:val="20"/>
              </w:rPr>
            </w:pPr>
            <w:r w:rsidRPr="00336C66">
              <w:rPr>
                <w:b w:val="0"/>
                <w:sz w:val="22"/>
                <w:szCs w:val="20"/>
              </w:rPr>
              <w:t>Drug</w:t>
            </w:r>
          </w:p>
        </w:tc>
        <w:tc>
          <w:tcPr>
            <w:tcW w:w="699" w:type="dxa"/>
          </w:tcPr>
          <w:p w14:paraId="4A73900C"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9.8</w:t>
            </w:r>
          </w:p>
        </w:tc>
        <w:tc>
          <w:tcPr>
            <w:tcW w:w="1582" w:type="dxa"/>
            <w:gridSpan w:val="2"/>
          </w:tcPr>
          <w:p w14:paraId="4E6A01E3"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1.767</w:t>
            </w:r>
          </w:p>
        </w:tc>
        <w:tc>
          <w:tcPr>
            <w:tcW w:w="2625" w:type="dxa"/>
          </w:tcPr>
          <w:p w14:paraId="53D74006"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Donor 2</w:t>
            </w:r>
          </w:p>
        </w:tc>
      </w:tr>
      <w:tr w:rsidR="000E2CE5" w:rsidRPr="00336C66" w14:paraId="24BD7EA2"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35536534" w14:textId="77777777" w:rsidR="000E2CE5" w:rsidRPr="00336C66" w:rsidRDefault="000E2CE5" w:rsidP="00396142">
            <w:pPr>
              <w:jc w:val="center"/>
              <w:rPr>
                <w:b w:val="0"/>
                <w:sz w:val="22"/>
                <w:szCs w:val="20"/>
              </w:rPr>
            </w:pPr>
            <w:r w:rsidRPr="00336C66">
              <w:rPr>
                <w:b w:val="0"/>
                <w:sz w:val="22"/>
                <w:szCs w:val="20"/>
              </w:rPr>
              <w:t>Drug</w:t>
            </w:r>
          </w:p>
        </w:tc>
        <w:tc>
          <w:tcPr>
            <w:tcW w:w="699" w:type="dxa"/>
          </w:tcPr>
          <w:p w14:paraId="5B5E5521"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32.2</w:t>
            </w:r>
          </w:p>
        </w:tc>
        <w:tc>
          <w:tcPr>
            <w:tcW w:w="1582" w:type="dxa"/>
            <w:gridSpan w:val="2"/>
          </w:tcPr>
          <w:p w14:paraId="4CF4B9A4"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1.376</w:t>
            </w:r>
          </w:p>
        </w:tc>
        <w:tc>
          <w:tcPr>
            <w:tcW w:w="2625" w:type="dxa"/>
          </w:tcPr>
          <w:p w14:paraId="63829C92"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2</w:t>
            </w:r>
          </w:p>
        </w:tc>
      </w:tr>
      <w:tr w:rsidR="000E2CE5" w:rsidRPr="00336C66" w14:paraId="2CD048A6"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14AFCE6B" w14:textId="77777777" w:rsidR="000E2CE5" w:rsidRPr="00336C66" w:rsidRDefault="000E2CE5" w:rsidP="00396142">
            <w:pPr>
              <w:jc w:val="center"/>
              <w:rPr>
                <w:b w:val="0"/>
                <w:sz w:val="22"/>
                <w:szCs w:val="20"/>
              </w:rPr>
            </w:pPr>
            <w:r w:rsidRPr="00336C66">
              <w:rPr>
                <w:b w:val="0"/>
                <w:sz w:val="22"/>
                <w:szCs w:val="20"/>
              </w:rPr>
              <w:t>…</w:t>
            </w:r>
          </w:p>
        </w:tc>
        <w:tc>
          <w:tcPr>
            <w:tcW w:w="699" w:type="dxa"/>
          </w:tcPr>
          <w:p w14:paraId="378E8FE0"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1582" w:type="dxa"/>
            <w:gridSpan w:val="2"/>
          </w:tcPr>
          <w:p w14:paraId="73325645"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2625" w:type="dxa"/>
          </w:tcPr>
          <w:p w14:paraId="6D24835C"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r>
      <w:tr w:rsidR="000E2CE5" w:rsidRPr="00336C66" w14:paraId="34C81E70"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4D7FD541" w14:textId="77777777" w:rsidR="000E2CE5" w:rsidRPr="00336C66" w:rsidRDefault="000E2CE5" w:rsidP="00396142">
            <w:pPr>
              <w:jc w:val="center"/>
              <w:rPr>
                <w:b w:val="0"/>
                <w:sz w:val="22"/>
                <w:szCs w:val="20"/>
              </w:rPr>
            </w:pPr>
            <w:r w:rsidRPr="00336C66">
              <w:rPr>
                <w:b w:val="0"/>
                <w:sz w:val="22"/>
                <w:szCs w:val="20"/>
              </w:rPr>
              <w:t>Control</w:t>
            </w:r>
          </w:p>
        </w:tc>
        <w:tc>
          <w:tcPr>
            <w:tcW w:w="699" w:type="dxa"/>
          </w:tcPr>
          <w:p w14:paraId="3C250D5C"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34.1</w:t>
            </w:r>
          </w:p>
        </w:tc>
        <w:tc>
          <w:tcPr>
            <w:tcW w:w="1582" w:type="dxa"/>
            <w:gridSpan w:val="2"/>
          </w:tcPr>
          <w:p w14:paraId="747E47BA"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1.374</w:t>
            </w:r>
          </w:p>
        </w:tc>
        <w:tc>
          <w:tcPr>
            <w:tcW w:w="2625" w:type="dxa"/>
          </w:tcPr>
          <w:p w14:paraId="2B92AB73"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3</w:t>
            </w:r>
          </w:p>
        </w:tc>
      </w:tr>
      <w:tr w:rsidR="000E2CE5" w:rsidRPr="00336C66" w14:paraId="5AC8A0BB"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7C448959" w14:textId="77777777" w:rsidR="000E2CE5" w:rsidRPr="00336C66" w:rsidRDefault="000E2CE5" w:rsidP="00396142">
            <w:pPr>
              <w:jc w:val="center"/>
              <w:rPr>
                <w:b w:val="0"/>
                <w:sz w:val="22"/>
                <w:szCs w:val="20"/>
              </w:rPr>
            </w:pPr>
            <w:r w:rsidRPr="00336C66">
              <w:rPr>
                <w:b w:val="0"/>
                <w:sz w:val="22"/>
                <w:szCs w:val="20"/>
              </w:rPr>
              <w:t>…</w:t>
            </w:r>
          </w:p>
        </w:tc>
        <w:tc>
          <w:tcPr>
            <w:tcW w:w="699" w:type="dxa"/>
          </w:tcPr>
          <w:p w14:paraId="6C56134A"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1582" w:type="dxa"/>
            <w:gridSpan w:val="2"/>
          </w:tcPr>
          <w:p w14:paraId="3D2EF6BE"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2625" w:type="dxa"/>
          </w:tcPr>
          <w:p w14:paraId="4DBCB06A"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r>
      <w:tr w:rsidR="000E2CE5" w:rsidRPr="00336C66" w14:paraId="2F485CE7" w14:textId="77777777" w:rsidTr="00396142">
        <w:trPr>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5DCB180C" w14:textId="77777777" w:rsidR="000E2CE5" w:rsidRPr="00336C66" w:rsidRDefault="000E2CE5" w:rsidP="00396142">
            <w:pPr>
              <w:jc w:val="center"/>
              <w:rPr>
                <w:b w:val="0"/>
                <w:sz w:val="22"/>
                <w:szCs w:val="20"/>
              </w:rPr>
            </w:pPr>
            <w:r w:rsidRPr="00336C66">
              <w:rPr>
                <w:b w:val="0"/>
                <w:sz w:val="22"/>
                <w:szCs w:val="20"/>
              </w:rPr>
              <w:t>Drug</w:t>
            </w:r>
          </w:p>
        </w:tc>
        <w:tc>
          <w:tcPr>
            <w:tcW w:w="699" w:type="dxa"/>
          </w:tcPr>
          <w:p w14:paraId="536676B3"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25.5</w:t>
            </w:r>
          </w:p>
        </w:tc>
        <w:tc>
          <w:tcPr>
            <w:tcW w:w="1582" w:type="dxa"/>
            <w:gridSpan w:val="2"/>
          </w:tcPr>
          <w:p w14:paraId="1CE491E9"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1.810</w:t>
            </w:r>
          </w:p>
        </w:tc>
        <w:tc>
          <w:tcPr>
            <w:tcW w:w="2625" w:type="dxa"/>
          </w:tcPr>
          <w:p w14:paraId="07BE6C2B" w14:textId="77777777" w:rsidR="000E2CE5" w:rsidRPr="00336C66" w:rsidRDefault="000E2CE5" w:rsidP="00396142">
            <w:pPr>
              <w:jc w:val="center"/>
              <w:cnfStyle w:val="000000000000" w:firstRow="0" w:lastRow="0" w:firstColumn="0" w:lastColumn="0" w:oddVBand="0" w:evenVBand="0" w:oddHBand="0" w:evenHBand="0" w:firstRowFirstColumn="0" w:firstRowLastColumn="0" w:lastRowFirstColumn="0" w:lastRowLastColumn="0"/>
              <w:rPr>
                <w:sz w:val="22"/>
                <w:szCs w:val="20"/>
              </w:rPr>
            </w:pPr>
            <w:r w:rsidRPr="00336C66">
              <w:rPr>
                <w:sz w:val="22"/>
                <w:szCs w:val="20"/>
              </w:rPr>
              <w:t>Donor 3</w:t>
            </w:r>
          </w:p>
        </w:tc>
      </w:tr>
      <w:tr w:rsidR="000E2CE5" w:rsidRPr="00336C66" w14:paraId="4C4B9263" w14:textId="77777777" w:rsidTr="003961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14" w:type="dxa"/>
            <w:gridSpan w:val="2"/>
          </w:tcPr>
          <w:p w14:paraId="0620D500" w14:textId="77777777" w:rsidR="000E2CE5" w:rsidRPr="00336C66" w:rsidRDefault="000E2CE5" w:rsidP="00396142">
            <w:pPr>
              <w:jc w:val="center"/>
              <w:rPr>
                <w:b w:val="0"/>
                <w:sz w:val="22"/>
                <w:szCs w:val="20"/>
              </w:rPr>
            </w:pPr>
            <w:r w:rsidRPr="00336C66">
              <w:rPr>
                <w:b w:val="0"/>
                <w:sz w:val="22"/>
                <w:szCs w:val="20"/>
              </w:rPr>
              <w:t>…</w:t>
            </w:r>
          </w:p>
        </w:tc>
        <w:tc>
          <w:tcPr>
            <w:tcW w:w="699" w:type="dxa"/>
          </w:tcPr>
          <w:p w14:paraId="349814A0"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1582" w:type="dxa"/>
            <w:gridSpan w:val="2"/>
          </w:tcPr>
          <w:p w14:paraId="495C1DBC"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c>
          <w:tcPr>
            <w:tcW w:w="2625" w:type="dxa"/>
          </w:tcPr>
          <w:p w14:paraId="6DED8671" w14:textId="77777777" w:rsidR="000E2CE5" w:rsidRPr="00336C66" w:rsidRDefault="000E2CE5" w:rsidP="00396142">
            <w:pPr>
              <w:jc w:val="center"/>
              <w:cnfStyle w:val="000000100000" w:firstRow="0" w:lastRow="0" w:firstColumn="0" w:lastColumn="0" w:oddVBand="0" w:evenVBand="0" w:oddHBand="1" w:evenHBand="0" w:firstRowFirstColumn="0" w:firstRowLastColumn="0" w:lastRowFirstColumn="0" w:lastRowLastColumn="0"/>
              <w:rPr>
                <w:sz w:val="22"/>
                <w:szCs w:val="20"/>
              </w:rPr>
            </w:pPr>
            <w:r w:rsidRPr="00336C66">
              <w:rPr>
                <w:sz w:val="22"/>
                <w:szCs w:val="20"/>
              </w:rPr>
              <w:t>…</w:t>
            </w:r>
          </w:p>
        </w:tc>
      </w:tr>
    </w:tbl>
    <w:p w14:paraId="0A3BCB31" w14:textId="77777777" w:rsidR="000E2CE5" w:rsidRDefault="000E2CE5" w:rsidP="000E2CE5">
      <w:pPr>
        <w:jc w:val="center"/>
        <w:rPr>
          <w:i/>
          <w:iCs/>
          <w:sz w:val="22"/>
          <w:szCs w:val="20"/>
        </w:rPr>
      </w:pPr>
      <w:r w:rsidRPr="00C576B1">
        <w:rPr>
          <w:b/>
          <w:bCs/>
          <w:sz w:val="22"/>
          <w:szCs w:val="20"/>
        </w:rPr>
        <w:t>Table 1:</w:t>
      </w:r>
      <w:r w:rsidRPr="00C576B1">
        <w:rPr>
          <w:sz w:val="22"/>
          <w:szCs w:val="20"/>
        </w:rPr>
        <w:t xml:space="preserve"> </w:t>
      </w:r>
      <w:r w:rsidRPr="00A87D2F">
        <w:rPr>
          <w:i/>
          <w:iCs/>
          <w:sz w:val="22"/>
          <w:szCs w:val="20"/>
        </w:rPr>
        <w:t>Example of a data file in tidy format (either csv or Excel file).</w:t>
      </w:r>
    </w:p>
    <w:p w14:paraId="505CCA60" w14:textId="76D60725" w:rsidR="000E2CE5" w:rsidRDefault="000E2CE5" w:rsidP="000E2CE5">
      <w:pPr>
        <w:pStyle w:val="ListParagraph"/>
      </w:pPr>
      <w:r w:rsidRPr="000E2CE5">
        <w:t xml:space="preserve">(B) </w:t>
      </w:r>
      <w:r w:rsidRPr="00A27809">
        <w:rPr>
          <w:u w:val="single"/>
        </w:rPr>
        <w:t>For ‘untidy’ data</w:t>
      </w:r>
      <w:r>
        <w:t>, column names have to be exactly the same across replicates to allow the software to combine the data for plotting; the data in each column doesn’t have to be paired data, i.e. can have different number of entries. Column names should not contain special characters or sub-/super-script.</w:t>
      </w:r>
    </w:p>
    <w:p w14:paraId="6A6C72D9" w14:textId="2537B18D" w:rsidR="00E6140B" w:rsidRDefault="00E6140B" w:rsidP="00E6140B">
      <w:pPr>
        <w:jc w:val="center"/>
        <w:rPr>
          <w:sz w:val="22"/>
          <w:szCs w:val="20"/>
        </w:rPr>
      </w:pPr>
      <w:r>
        <w:rPr>
          <w:noProof/>
          <w:sz w:val="22"/>
          <w:szCs w:val="20"/>
          <w:lang w:val="en-US"/>
        </w:rPr>
        <w:drawing>
          <wp:inline distT="0" distB="0" distL="0" distR="0" wp14:anchorId="68C7A7E6" wp14:editId="3ADACC22">
            <wp:extent cx="5157767" cy="29032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10186" cy="2932726"/>
                    </a:xfrm>
                    <a:prstGeom prst="rect">
                      <a:avLst/>
                    </a:prstGeom>
                  </pic:spPr>
                </pic:pic>
              </a:graphicData>
            </a:graphic>
          </wp:inline>
        </w:drawing>
      </w:r>
    </w:p>
    <w:p w14:paraId="5D7EE943" w14:textId="76CA4369" w:rsidR="00E6140B" w:rsidRDefault="00E6140B" w:rsidP="00E6140B">
      <w:pPr>
        <w:jc w:val="center"/>
        <w:rPr>
          <w:i/>
          <w:iCs/>
          <w:sz w:val="22"/>
          <w:szCs w:val="20"/>
        </w:rPr>
      </w:pPr>
      <w:r>
        <w:rPr>
          <w:b/>
          <w:bCs/>
          <w:sz w:val="22"/>
          <w:szCs w:val="20"/>
        </w:rPr>
        <w:t>Figure</w:t>
      </w:r>
      <w:r w:rsidRPr="00C576B1">
        <w:rPr>
          <w:b/>
          <w:bCs/>
          <w:sz w:val="22"/>
          <w:szCs w:val="20"/>
        </w:rPr>
        <w:t xml:space="preserve"> </w:t>
      </w:r>
      <w:r>
        <w:rPr>
          <w:b/>
          <w:bCs/>
          <w:sz w:val="22"/>
          <w:szCs w:val="20"/>
        </w:rPr>
        <w:t>2</w:t>
      </w:r>
      <w:r w:rsidRPr="00C576B1">
        <w:rPr>
          <w:b/>
          <w:bCs/>
          <w:sz w:val="22"/>
          <w:szCs w:val="20"/>
        </w:rPr>
        <w:t>:</w:t>
      </w:r>
      <w:r w:rsidRPr="00C576B1">
        <w:rPr>
          <w:sz w:val="22"/>
          <w:szCs w:val="20"/>
        </w:rPr>
        <w:t xml:space="preserve"> </w:t>
      </w:r>
      <w:r w:rsidRPr="00A87D2F">
        <w:rPr>
          <w:i/>
          <w:iCs/>
          <w:sz w:val="22"/>
          <w:szCs w:val="20"/>
        </w:rPr>
        <w:t>Example of a data file in an ‘untidy’ format (several Excel spreadsheets).</w:t>
      </w:r>
    </w:p>
    <w:p w14:paraId="48890975" w14:textId="63CF5F32" w:rsidR="000E2CE5" w:rsidRDefault="000E2CE5" w:rsidP="00E6140B">
      <w:pPr>
        <w:jc w:val="center"/>
        <w:rPr>
          <w:i/>
          <w:iCs/>
          <w:sz w:val="22"/>
          <w:szCs w:val="20"/>
        </w:rPr>
      </w:pPr>
    </w:p>
    <w:p w14:paraId="4EA384F7" w14:textId="2A517A3C" w:rsidR="00EB7A82" w:rsidRPr="00420DDB" w:rsidRDefault="00EB7A82" w:rsidP="00EB7A82">
      <w:pPr>
        <w:pStyle w:val="ListParagraph"/>
        <w:numPr>
          <w:ilvl w:val="0"/>
          <w:numId w:val="5"/>
        </w:numPr>
        <w:rPr>
          <w:rFonts w:ascii="Courier New" w:hAnsi="Courier New" w:cs="Courier New"/>
        </w:rPr>
      </w:pPr>
      <w:r>
        <w:t xml:space="preserve">Open the terminal or Anaconda Prompt. Navigate to the folder containing the data file by typing &amp; copy-pasting </w:t>
      </w:r>
      <w:r w:rsidRPr="00420DDB">
        <w:rPr>
          <w:rFonts w:ascii="Courier New" w:hAnsi="Courier New" w:cs="Courier New"/>
        </w:rPr>
        <w:t>cd drive:\full\path\to\your\data\folder</w:t>
      </w:r>
      <w:r w:rsidRPr="00420DDB">
        <w:rPr>
          <w:rFonts w:cs="Arial"/>
        </w:rPr>
        <w:t xml:space="preserve"> into the command line (replace the ‘</w:t>
      </w:r>
      <w:r w:rsidRPr="00420DDB">
        <w:rPr>
          <w:rFonts w:ascii="Courier New" w:hAnsi="Courier New" w:cs="Courier New"/>
        </w:rPr>
        <w:t>drive:\...</w:t>
      </w:r>
      <w:r w:rsidRPr="00420DDB">
        <w:rPr>
          <w:rFonts w:cs="Arial"/>
        </w:rPr>
        <w:t>’ by your actual path).</w:t>
      </w:r>
    </w:p>
    <w:p w14:paraId="2583DC34" w14:textId="5059DECD" w:rsidR="00EB7A82" w:rsidRPr="00EB7A82" w:rsidRDefault="00EB7A82" w:rsidP="00EB7A82">
      <w:pPr>
        <w:pStyle w:val="ListParagraph"/>
        <w:numPr>
          <w:ilvl w:val="0"/>
          <w:numId w:val="5"/>
        </w:numPr>
      </w:pPr>
      <w:r>
        <w:t xml:space="preserve">Run </w:t>
      </w:r>
      <w:r w:rsidRPr="00D6330B">
        <w:rPr>
          <w:rFonts w:ascii="Courier New" w:hAnsi="Courier New" w:cs="Courier New"/>
          <w:iCs/>
        </w:rPr>
        <w:t>superviolin init</w:t>
      </w:r>
      <w:r w:rsidRPr="00D6330B">
        <w:t xml:space="preserve"> </w:t>
      </w:r>
      <w:r>
        <w:t>to generate the args.txt file in this folder.</w:t>
      </w:r>
    </w:p>
    <w:p w14:paraId="2278F241" w14:textId="3FA1A920" w:rsidR="00A771AD" w:rsidRDefault="0048197F" w:rsidP="00EB7A82">
      <w:pPr>
        <w:pStyle w:val="ListParagraph"/>
        <w:numPr>
          <w:ilvl w:val="0"/>
          <w:numId w:val="5"/>
        </w:numPr>
      </w:pPr>
      <w:r>
        <w:t xml:space="preserve">Edit the args.txt file </w:t>
      </w:r>
      <w:r w:rsidR="00E57FA7">
        <w:t>with the parameters specific to your data file. Optional arguments are detailed in section 6. The required parameters are:</w:t>
      </w:r>
    </w:p>
    <w:p w14:paraId="4D6ADDD7" w14:textId="77777777" w:rsidR="00A27809" w:rsidRDefault="00A27809" w:rsidP="00CD0AF9">
      <w:pPr>
        <w:pStyle w:val="ListParagraph"/>
        <w:numPr>
          <w:ilvl w:val="0"/>
          <w:numId w:val="8"/>
        </w:numPr>
      </w:pPr>
      <w:r>
        <w:rPr>
          <w:b/>
        </w:rPr>
        <w:t>filename</w:t>
      </w:r>
      <w:r>
        <w:t>, the name of your data file. Must be in CSV or Excel format.</w:t>
      </w:r>
    </w:p>
    <w:p w14:paraId="444FA815" w14:textId="77777777" w:rsidR="000E2CE5" w:rsidRDefault="00CD0AF9" w:rsidP="00A27809">
      <w:pPr>
        <w:pStyle w:val="ListParagraph"/>
        <w:numPr>
          <w:ilvl w:val="0"/>
          <w:numId w:val="8"/>
        </w:numPr>
        <w:spacing w:after="0"/>
      </w:pPr>
      <w:r w:rsidRPr="00CD0AF9">
        <w:rPr>
          <w:b/>
        </w:rPr>
        <w:t>data_format</w:t>
      </w:r>
      <w:r>
        <w:t xml:space="preserve">, whether the data follows the format in </w:t>
      </w:r>
      <w:r w:rsidR="000E2CE5">
        <w:t>table 1</w:t>
      </w:r>
      <w:r>
        <w:t xml:space="preserve"> (tidy) or </w:t>
      </w:r>
      <w:r w:rsidR="000E2CE5">
        <w:t>figure 2</w:t>
      </w:r>
      <w:r>
        <w:t xml:space="preserve"> (untidy)</w:t>
      </w:r>
      <w:r w:rsidR="00706404">
        <w:t xml:space="preserve">. </w:t>
      </w:r>
    </w:p>
    <w:p w14:paraId="43A50D7F" w14:textId="0378AED3" w:rsidR="00A27809" w:rsidRDefault="00A27809" w:rsidP="00A27809">
      <w:pPr>
        <w:spacing w:after="0"/>
        <w:ind w:left="720"/>
      </w:pPr>
      <w:r>
        <w:t>For tidy data, additional inputs are required:</w:t>
      </w:r>
    </w:p>
    <w:p w14:paraId="20E74AEC" w14:textId="680AD479" w:rsidR="00CD0AF9" w:rsidRDefault="00615676" w:rsidP="00CD0AF9">
      <w:pPr>
        <w:pStyle w:val="ListParagraph"/>
        <w:numPr>
          <w:ilvl w:val="0"/>
          <w:numId w:val="8"/>
        </w:numPr>
      </w:pPr>
      <w:r>
        <w:rPr>
          <w:b/>
        </w:rPr>
        <w:t>c</w:t>
      </w:r>
      <w:r w:rsidR="00CD0AF9">
        <w:rPr>
          <w:b/>
        </w:rPr>
        <w:t>ondition</w:t>
      </w:r>
      <w:r w:rsidR="00CD0AF9">
        <w:t xml:space="preserve">, </w:t>
      </w:r>
      <w:r w:rsidR="00706404">
        <w:t>the column in your dataset which specifies the experimental conditions.</w:t>
      </w:r>
    </w:p>
    <w:p w14:paraId="7A1234DC" w14:textId="0BE24DAA" w:rsidR="00CD0AF9" w:rsidRDefault="00615676" w:rsidP="00CD0AF9">
      <w:pPr>
        <w:pStyle w:val="ListParagraph"/>
        <w:numPr>
          <w:ilvl w:val="0"/>
          <w:numId w:val="8"/>
        </w:numPr>
      </w:pPr>
      <w:r>
        <w:rPr>
          <w:b/>
        </w:rPr>
        <w:t>v</w:t>
      </w:r>
      <w:r w:rsidR="00CD0AF9">
        <w:rPr>
          <w:b/>
        </w:rPr>
        <w:t>alue</w:t>
      </w:r>
      <w:r w:rsidR="00CD0AF9">
        <w:t xml:space="preserve">, </w:t>
      </w:r>
      <w:r w:rsidR="00706404">
        <w:t>the variable to be plotted from your dataset.</w:t>
      </w:r>
    </w:p>
    <w:p w14:paraId="10D3D061" w14:textId="54623ED0" w:rsidR="00CD0AF9" w:rsidRDefault="00615676" w:rsidP="00A27809">
      <w:pPr>
        <w:pStyle w:val="ListParagraph"/>
        <w:numPr>
          <w:ilvl w:val="0"/>
          <w:numId w:val="8"/>
        </w:numPr>
      </w:pPr>
      <w:r>
        <w:rPr>
          <w:b/>
        </w:rPr>
        <w:t>r</w:t>
      </w:r>
      <w:r w:rsidR="00CD0AF9">
        <w:rPr>
          <w:b/>
        </w:rPr>
        <w:t>epli</w:t>
      </w:r>
      <w:r w:rsidR="00706404">
        <w:rPr>
          <w:b/>
        </w:rPr>
        <w:t>cate</w:t>
      </w:r>
      <w:r w:rsidR="00706404">
        <w:t>, the name of the replicate column in your dataset.</w:t>
      </w:r>
    </w:p>
    <w:p w14:paraId="7DC02FC9" w14:textId="607FD0C5" w:rsidR="00D6330B" w:rsidRDefault="00372473" w:rsidP="00EB7A82">
      <w:pPr>
        <w:pStyle w:val="ListParagraph"/>
        <w:numPr>
          <w:ilvl w:val="0"/>
          <w:numId w:val="5"/>
        </w:numPr>
      </w:pPr>
      <w:r>
        <w:t xml:space="preserve">Save </w:t>
      </w:r>
      <w:r w:rsidR="006664BC">
        <w:t>the args.txt file</w:t>
      </w:r>
      <w:r>
        <w:t>.</w:t>
      </w:r>
    </w:p>
    <w:p w14:paraId="17B2944B" w14:textId="08B4FAC5" w:rsidR="0048197F" w:rsidRDefault="0048197F" w:rsidP="00EB7A82">
      <w:pPr>
        <w:pStyle w:val="ListParagraph"/>
        <w:numPr>
          <w:ilvl w:val="0"/>
          <w:numId w:val="5"/>
        </w:numPr>
      </w:pPr>
      <w:r>
        <w:t xml:space="preserve">Run </w:t>
      </w:r>
      <w:r w:rsidR="00B27E7A" w:rsidRPr="00D6330B">
        <w:rPr>
          <w:rFonts w:ascii="Courier New" w:hAnsi="Courier New" w:cs="Courier New"/>
          <w:iCs/>
        </w:rPr>
        <w:t xml:space="preserve">superviolin </w:t>
      </w:r>
      <w:r w:rsidR="00B27E7A">
        <w:rPr>
          <w:rFonts w:ascii="Courier New" w:hAnsi="Courier New" w:cs="Courier New"/>
          <w:iCs/>
        </w:rPr>
        <w:t>plo</w:t>
      </w:r>
      <w:r w:rsidR="00B27E7A" w:rsidRPr="00D6330B">
        <w:rPr>
          <w:rFonts w:ascii="Courier New" w:hAnsi="Courier New" w:cs="Courier New"/>
          <w:iCs/>
        </w:rPr>
        <w:t>t</w:t>
      </w:r>
      <w:r>
        <w:t xml:space="preserve"> to generate your Violin SuperPlot</w:t>
      </w:r>
      <w:r w:rsidR="00C576B1">
        <w:t xml:space="preserve"> which will open in the “Figure 1” window.</w:t>
      </w:r>
      <w:r w:rsidR="003E276C">
        <w:t xml:space="preserve"> Please note that the Figure window needs to be closed to be able to access the command line / Anaconda prompt again.</w:t>
      </w:r>
    </w:p>
    <w:p w14:paraId="6E7B7D5D" w14:textId="1F5A9AF6" w:rsidR="00C576B1" w:rsidRPr="00D6330B" w:rsidRDefault="00752E72" w:rsidP="00752E72">
      <w:r>
        <w:t>Simply changing the filename in the args.txt file will allow you to apply th</w:t>
      </w:r>
      <w:r w:rsidR="00981850">
        <w:t>e</w:t>
      </w:r>
      <w:r>
        <w:t>se settings to other CSV or Excel files with the same structure, provided the new filename is in the same directory as the args.txt file</w:t>
      </w:r>
      <w:r w:rsidR="00C576B1">
        <w:t>.</w:t>
      </w:r>
    </w:p>
    <w:p w14:paraId="13FEC40D" w14:textId="77777777" w:rsidR="00D6330B" w:rsidRDefault="00D6330B" w:rsidP="00233C3C">
      <w:pPr>
        <w:rPr>
          <w:b/>
        </w:rPr>
      </w:pPr>
    </w:p>
    <w:p w14:paraId="5462A6CC" w14:textId="2651DAAC" w:rsidR="00474731" w:rsidRDefault="00DB110B" w:rsidP="00233C3C">
      <w:pPr>
        <w:rPr>
          <w:b/>
        </w:rPr>
      </w:pPr>
      <w:r>
        <w:rPr>
          <w:b/>
        </w:rPr>
        <w:t xml:space="preserve">4. </w:t>
      </w:r>
      <w:r w:rsidR="00F730D0">
        <w:rPr>
          <w:b/>
        </w:rPr>
        <w:t>Editing your Violin SuperPlot</w:t>
      </w:r>
    </w:p>
    <w:p w14:paraId="4247E4C8" w14:textId="72206FE1" w:rsidR="00F730D0" w:rsidRDefault="002765F7" w:rsidP="00233C3C">
      <w:r>
        <w:t xml:space="preserve">Most of the editing of the Violin SuperPlot is done directly </w:t>
      </w:r>
      <w:r w:rsidR="00357DDF">
        <w:t xml:space="preserve">by arguments </w:t>
      </w:r>
      <w:r>
        <w:t xml:space="preserve">in the args.txt file. </w:t>
      </w:r>
      <w:r w:rsidR="00F730D0">
        <w:t xml:space="preserve">The basic Violin SuperPlot generated by the program can </w:t>
      </w:r>
      <w:r>
        <w:t xml:space="preserve">then </w:t>
      </w:r>
      <w:r w:rsidR="00F730D0">
        <w:t xml:space="preserve">be </w:t>
      </w:r>
      <w:r>
        <w:t xml:space="preserve">further adapted </w:t>
      </w:r>
      <w:r w:rsidR="00F730D0">
        <w:t xml:space="preserve">to </w:t>
      </w:r>
      <w:r w:rsidR="000F6664">
        <w:t xml:space="preserve">edit the amount of whitespace around your plot. </w:t>
      </w:r>
      <w:r w:rsidR="00041C33" w:rsidRPr="002765F7">
        <w:rPr>
          <w:b/>
          <w:bCs/>
        </w:rPr>
        <w:t xml:space="preserve">Figure </w:t>
      </w:r>
      <w:r w:rsidR="00E6140B">
        <w:rPr>
          <w:b/>
          <w:bCs/>
        </w:rPr>
        <w:t>3</w:t>
      </w:r>
      <w:r w:rsidR="00041C33">
        <w:t xml:space="preserve"> shows the Violin SuperPlot generated by the </w:t>
      </w:r>
      <w:r w:rsidR="002D7DD1" w:rsidRPr="00D6330B">
        <w:rPr>
          <w:rFonts w:ascii="Courier New" w:hAnsi="Courier New" w:cs="Courier New"/>
          <w:iCs/>
        </w:rPr>
        <w:t xml:space="preserve">superviolin </w:t>
      </w:r>
      <w:r w:rsidR="002D7DD1">
        <w:rPr>
          <w:rFonts w:ascii="Courier New" w:hAnsi="Courier New" w:cs="Courier New"/>
          <w:iCs/>
        </w:rPr>
        <w:t>demo</w:t>
      </w:r>
      <w:r w:rsidR="00041C33">
        <w:t xml:space="preserve"> command. The whitespace around the plot is already optimized within the code, but these spacings can be edited by clicking on the button (highlighted </w:t>
      </w:r>
      <w:r w:rsidR="00357DDF">
        <w:t>by the</w:t>
      </w:r>
      <w:r w:rsidR="00041C33">
        <w:t xml:space="preserve"> red box) to open a menu of sliders corresponding to the whitespace to the top, bottom, left, and right of the plot.</w:t>
      </w:r>
    </w:p>
    <w:p w14:paraId="699D1973" w14:textId="65C5B7D6" w:rsidR="000F6664" w:rsidRDefault="009A474E" w:rsidP="000F6664">
      <w:pPr>
        <w:jc w:val="center"/>
      </w:pPr>
      <w:r w:rsidRPr="009A474E">
        <w:rPr>
          <w:noProof/>
          <w:lang w:val="en-US"/>
        </w:rPr>
        <w:drawing>
          <wp:inline distT="0" distB="0" distL="0" distR="0" wp14:anchorId="7C124857" wp14:editId="4EC5F19B">
            <wp:extent cx="2346960" cy="2578218"/>
            <wp:effectExtent l="0" t="0" r="0" b="0"/>
            <wp:docPr id="2" name="Picture 2" descr="C:\Users\martinkenny\OneDrive - Royal College of Surgeons in Ireland\Documents\Writing\My papers\Superplot letter\supp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kenny\OneDrive - Royal College of Surgeons in Ireland\Documents\Writing\My papers\Superplot letter\supp_1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4229" cy="2608174"/>
                    </a:xfrm>
                    <a:prstGeom prst="rect">
                      <a:avLst/>
                    </a:prstGeom>
                    <a:noFill/>
                    <a:ln>
                      <a:noFill/>
                    </a:ln>
                  </pic:spPr>
                </pic:pic>
              </a:graphicData>
            </a:graphic>
          </wp:inline>
        </w:drawing>
      </w:r>
    </w:p>
    <w:p w14:paraId="7062ADB4" w14:textId="3969317D" w:rsidR="000F6664" w:rsidRPr="002765F7" w:rsidRDefault="000F6664" w:rsidP="000F6664">
      <w:pPr>
        <w:jc w:val="center"/>
        <w:rPr>
          <w:i/>
          <w:iCs/>
          <w:sz w:val="22"/>
        </w:rPr>
      </w:pPr>
      <w:r w:rsidRPr="002765F7">
        <w:rPr>
          <w:b/>
          <w:bCs/>
          <w:sz w:val="22"/>
        </w:rPr>
        <w:t xml:space="preserve">Figure </w:t>
      </w:r>
      <w:r w:rsidR="00E6140B">
        <w:rPr>
          <w:b/>
          <w:bCs/>
          <w:sz w:val="22"/>
        </w:rPr>
        <w:t>3</w:t>
      </w:r>
      <w:r w:rsidR="002765F7" w:rsidRPr="002765F7">
        <w:rPr>
          <w:b/>
          <w:bCs/>
          <w:sz w:val="22"/>
        </w:rPr>
        <w:t>.</w:t>
      </w:r>
      <w:r w:rsidR="002765F7" w:rsidRPr="002765F7">
        <w:rPr>
          <w:sz w:val="22"/>
        </w:rPr>
        <w:t xml:space="preserve"> </w:t>
      </w:r>
      <w:r w:rsidR="002765F7" w:rsidRPr="002765F7">
        <w:rPr>
          <w:i/>
          <w:iCs/>
          <w:sz w:val="22"/>
        </w:rPr>
        <w:t>Layout of the Violin Superplot figure</w:t>
      </w:r>
      <w:r w:rsidR="002765F7">
        <w:rPr>
          <w:i/>
          <w:iCs/>
          <w:sz w:val="22"/>
        </w:rPr>
        <w:t xml:space="preserve"> window</w:t>
      </w:r>
      <w:r w:rsidR="002765F7" w:rsidRPr="002765F7">
        <w:rPr>
          <w:i/>
          <w:iCs/>
          <w:sz w:val="22"/>
        </w:rPr>
        <w:t>.</w:t>
      </w:r>
    </w:p>
    <w:p w14:paraId="04A23602" w14:textId="12496DC1" w:rsidR="00DB110B" w:rsidRDefault="00DB110B" w:rsidP="00DB110B">
      <w:pPr>
        <w:rPr>
          <w:b/>
        </w:rPr>
      </w:pPr>
      <w:r>
        <w:rPr>
          <w:b/>
        </w:rPr>
        <w:t>5. Saving your Violin SuperPlot</w:t>
      </w:r>
    </w:p>
    <w:p w14:paraId="016425C8" w14:textId="2F9E2DB4" w:rsidR="00E03716" w:rsidRDefault="00DB110B" w:rsidP="00DB110B">
      <w:r>
        <w:t>Once satisfied with the plot, you have</w:t>
      </w:r>
      <w:r w:rsidR="004C5252">
        <w:t xml:space="preserve"> the option</w:t>
      </w:r>
      <w:r>
        <w:t xml:space="preserve"> to save it either as a rendered image or a vector graphics</w:t>
      </w:r>
      <w:r w:rsidR="004C5252">
        <w:t xml:space="preserve"> image</w:t>
      </w:r>
      <w:r>
        <w:t>.</w:t>
      </w:r>
      <w:r w:rsidR="00E03716">
        <w:t xml:space="preserve"> Clicking the save icon </w:t>
      </w:r>
      <w:r w:rsidR="00E03716" w:rsidRPr="0098711A">
        <w:rPr>
          <w:noProof/>
          <w:lang w:val="en-US"/>
        </w:rPr>
        <w:drawing>
          <wp:inline distT="0" distB="0" distL="0" distR="0" wp14:anchorId="7EA5D7AC" wp14:editId="14FCB23D">
            <wp:extent cx="201600" cy="20880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600" cy="208800"/>
                    </a:xfrm>
                    <a:prstGeom prst="rect">
                      <a:avLst/>
                    </a:prstGeom>
                  </pic:spPr>
                </pic:pic>
              </a:graphicData>
            </a:graphic>
          </wp:inline>
        </w:drawing>
      </w:r>
      <w:r w:rsidR="00E03716">
        <w:t xml:space="preserve"> will open a dialog to choose the location for saving your figure and allow you to select the appropriate output format from the dropdown menu.</w:t>
      </w:r>
    </w:p>
    <w:p w14:paraId="268D7CD5" w14:textId="5D1E4266" w:rsidR="00DB110B" w:rsidRDefault="00DB110B" w:rsidP="00DB110B">
      <w:r>
        <w:t xml:space="preserve">Rendered images: preferred are lossless formats (TIFF, PNG). </w:t>
      </w:r>
      <w:r w:rsidR="00E03716">
        <w:t xml:space="preserve">The plot is </w:t>
      </w:r>
      <w:r>
        <w:t xml:space="preserve">saved at </w:t>
      </w:r>
      <w:r w:rsidR="0098711A">
        <w:t>the</w:t>
      </w:r>
      <w:r>
        <w:t xml:space="preserve"> resolution</w:t>
      </w:r>
      <w:r w:rsidR="0098711A">
        <w:t xml:space="preserve"> specified during creation of the plot (see section </w:t>
      </w:r>
      <w:r w:rsidR="00EB7A82">
        <w:t>6 below</w:t>
      </w:r>
      <w:r w:rsidR="009548FF">
        <w:t>, i.e.</w:t>
      </w:r>
      <w:r w:rsidR="00EB7A82">
        <w:t xml:space="preserve"> in</w:t>
      </w:r>
      <w:r w:rsidR="009548FF">
        <w:t xml:space="preserve"> the “args.txt” file</w:t>
      </w:r>
      <w:r w:rsidR="0098711A">
        <w:t>)</w:t>
      </w:r>
      <w:r>
        <w:t>.</w:t>
      </w:r>
    </w:p>
    <w:p w14:paraId="2EEBFE37" w14:textId="58A0494C" w:rsidR="00C576B1" w:rsidRDefault="00DB110B" w:rsidP="00DB110B">
      <w:r>
        <w:t>For maximal resolution and further editing in other programs, it is recommended to save the figure in SVG vector gr</w:t>
      </w:r>
      <w:r w:rsidR="004E3E4F">
        <w:t>aphics format</w:t>
      </w:r>
      <w:r w:rsidR="00A86044">
        <w:t>.</w:t>
      </w:r>
    </w:p>
    <w:p w14:paraId="1828CA78" w14:textId="22BA02D3" w:rsidR="00B7784E" w:rsidRDefault="00B7784E" w:rsidP="00DB110B"/>
    <w:p w14:paraId="550B1D83" w14:textId="2D668F57" w:rsidR="00B7784E" w:rsidRDefault="00B7784E" w:rsidP="00DB110B">
      <w:pPr>
        <w:rPr>
          <w:b/>
        </w:rPr>
      </w:pPr>
      <w:r>
        <w:rPr>
          <w:b/>
        </w:rPr>
        <w:t>6. Optional arguments</w:t>
      </w:r>
      <w:r w:rsidR="00084434">
        <w:rPr>
          <w:b/>
        </w:rPr>
        <w:t xml:space="preserve"> </w:t>
      </w:r>
      <w:r w:rsidR="00C55121">
        <w:rPr>
          <w:b/>
        </w:rPr>
        <w:t xml:space="preserve">in args.txt used </w:t>
      </w:r>
      <w:r w:rsidR="00084434">
        <w:rPr>
          <w:b/>
        </w:rPr>
        <w:t>to customize the Violin SuperPlot</w:t>
      </w:r>
    </w:p>
    <w:p w14:paraId="2E4612B2" w14:textId="33F0BD23" w:rsidR="00B7784E" w:rsidRDefault="00B7784E" w:rsidP="00B7784E">
      <w:pPr>
        <w:pStyle w:val="ListParagraph"/>
        <w:numPr>
          <w:ilvl w:val="2"/>
          <w:numId w:val="4"/>
        </w:numPr>
        <w:jc w:val="left"/>
      </w:pPr>
      <w:r>
        <w:rPr>
          <w:b/>
        </w:rPr>
        <w:t xml:space="preserve">xlabel </w:t>
      </w:r>
      <w:r w:rsidRPr="002F266E">
        <w:rPr>
          <w:bCs/>
        </w:rPr>
        <w:t>and</w:t>
      </w:r>
      <w:r>
        <w:rPr>
          <w:b/>
        </w:rPr>
        <w:t xml:space="preserve"> ylabel</w:t>
      </w:r>
      <w:r>
        <w:t xml:space="preserve"> indicate the labels you wish to use for the x and y axes. These arguments can be left unchanged if you don’t wish to have a label on either axis. </w:t>
      </w:r>
      <w:r w:rsidRPr="00041C33">
        <w:t>Special characters and super/sub-script formatting</w:t>
      </w:r>
      <w:r>
        <w:t xml:space="preserve"> can be specified using</w:t>
      </w:r>
      <w:r w:rsidRPr="00041C33">
        <w:t xml:space="preserve"> Python’s string formatting: </w:t>
      </w:r>
      <w:hyperlink r:id="rId16" w:history="1">
        <w:r w:rsidRPr="00041C33">
          <w:rPr>
            <w:rStyle w:val="Hyperlink"/>
          </w:rPr>
          <w:t>https://pythonforundergradengineers.com/unicode-characters-in-python.html</w:t>
        </w:r>
      </w:hyperlink>
    </w:p>
    <w:p w14:paraId="5147F621" w14:textId="7AEFDB08" w:rsidR="00B7784E" w:rsidRPr="00041C33" w:rsidRDefault="00B7784E" w:rsidP="00B7784E">
      <w:pPr>
        <w:pStyle w:val="ListParagraph"/>
        <w:ind w:left="1080"/>
        <w:jc w:val="left"/>
      </w:pPr>
      <w:r>
        <w:t>For example, the y-axis label in figure 1 below, “spreading area (</w:t>
      </w:r>
      <w:r>
        <w:rPr>
          <w:rFonts w:cs="Arial"/>
        </w:rPr>
        <w:t>µ</w:t>
      </w:r>
      <w:r>
        <w:t>m</w:t>
      </w:r>
      <w:r>
        <w:rPr>
          <w:vertAlign w:val="superscript"/>
        </w:rPr>
        <w:t>2</w:t>
      </w:r>
      <w:r>
        <w:t xml:space="preserve">)” is written into the args.txt file as </w:t>
      </w:r>
      <w:r w:rsidRPr="00FB6808">
        <w:rPr>
          <w:i/>
          <w:iCs/>
        </w:rPr>
        <w:t>Spreading area ($\mu</w:t>
      </w:r>
      <w:r w:rsidR="00612C3A" w:rsidRPr="00FB6808">
        <w:rPr>
          <w:i/>
          <w:iCs/>
        </w:rPr>
        <w:t>$$</w:t>
      </w:r>
      <w:r w:rsidRPr="00FB6808">
        <w:rPr>
          <w:i/>
          <w:iCs/>
        </w:rPr>
        <w:t>m^2$)</w:t>
      </w:r>
      <w:r>
        <w:t xml:space="preserve">, where $\mu$ and the $m^2$ correspond to the greek letter </w:t>
      </w:r>
      <w:r>
        <w:rPr>
          <w:rFonts w:cs="Arial"/>
        </w:rPr>
        <w:t xml:space="preserve">µ and the </w:t>
      </w:r>
      <w:r w:rsidR="00612C3A">
        <w:rPr>
          <w:rFonts w:cs="Arial"/>
        </w:rPr>
        <w:t xml:space="preserve">superscript </w:t>
      </w:r>
      <w:r>
        <w:rPr>
          <w:rFonts w:cs="Arial"/>
        </w:rPr>
        <w:t>m</w:t>
      </w:r>
      <w:r>
        <w:rPr>
          <w:rFonts w:cs="Arial"/>
          <w:vertAlign w:val="superscript"/>
        </w:rPr>
        <w:t>2</w:t>
      </w:r>
      <w:r>
        <w:rPr>
          <w:rFonts w:cs="Arial"/>
        </w:rPr>
        <w:t>, respectively</w:t>
      </w:r>
      <w:r>
        <w:t>.</w:t>
      </w:r>
    </w:p>
    <w:p w14:paraId="50BA240F" w14:textId="2F282ECF" w:rsidR="00B7784E" w:rsidRDefault="00B7784E" w:rsidP="00B7784E">
      <w:pPr>
        <w:pStyle w:val="ListParagraph"/>
        <w:numPr>
          <w:ilvl w:val="2"/>
          <w:numId w:val="4"/>
        </w:numPr>
      </w:pPr>
      <w:r>
        <w:rPr>
          <w:b/>
        </w:rPr>
        <w:t>o</w:t>
      </w:r>
      <w:r w:rsidRPr="00A771AD">
        <w:rPr>
          <w:b/>
        </w:rPr>
        <w:t>rder</w:t>
      </w:r>
      <w:r>
        <w:t>, the order of the experimental conditions to be displayed on the x axis. This argument MUST be separated by a single comma and single space otherwise it will throw an error. The default order</w:t>
      </w:r>
      <w:r w:rsidR="00F40D36">
        <w:t xml:space="preserve"> is alphabetical</w:t>
      </w:r>
      <w:r>
        <w:t>.</w:t>
      </w:r>
    </w:p>
    <w:p w14:paraId="100625A6" w14:textId="37111332" w:rsidR="00B7784E" w:rsidRPr="00866828" w:rsidRDefault="00B7784E" w:rsidP="00B7784E">
      <w:pPr>
        <w:pStyle w:val="ListParagraph"/>
        <w:ind w:left="1080"/>
        <w:rPr>
          <w:bCs/>
          <w:i/>
          <w:iCs/>
        </w:rPr>
      </w:pPr>
      <w:r w:rsidRPr="00866828">
        <w:rPr>
          <w:bCs/>
          <w:i/>
          <w:iCs/>
        </w:rPr>
        <w:t xml:space="preserve">In the above example: </w:t>
      </w:r>
      <w:r>
        <w:rPr>
          <w:bCs/>
          <w:i/>
          <w:iCs/>
        </w:rPr>
        <w:t>Control, Drug</w:t>
      </w:r>
    </w:p>
    <w:p w14:paraId="56DF0EBF" w14:textId="25BDC8B9" w:rsidR="00B7784E" w:rsidRDefault="00B7784E" w:rsidP="00B7784E">
      <w:pPr>
        <w:pStyle w:val="ListParagraph"/>
        <w:numPr>
          <w:ilvl w:val="2"/>
          <w:numId w:val="4"/>
        </w:numPr>
      </w:pPr>
      <w:r w:rsidRPr="00A771AD">
        <w:rPr>
          <w:b/>
        </w:rPr>
        <w:t>Middle_vals</w:t>
      </w:r>
      <w:r>
        <w:t xml:space="preserve">, the central measure of each replicate (mean, median, or robust mean). Displayed as circles over each replicate stripe. Default is mean. Accepted values are </w:t>
      </w:r>
      <w:r w:rsidRPr="00FB6808">
        <w:rPr>
          <w:i/>
          <w:iCs/>
        </w:rPr>
        <w:t>mean</w:t>
      </w:r>
      <w:r>
        <w:t xml:space="preserve">, </w:t>
      </w:r>
      <w:r w:rsidRPr="00FB6808">
        <w:rPr>
          <w:i/>
          <w:iCs/>
        </w:rPr>
        <w:t>median</w:t>
      </w:r>
      <w:r>
        <w:t xml:space="preserve">, or </w:t>
      </w:r>
      <w:r w:rsidRPr="00FB6808">
        <w:rPr>
          <w:i/>
          <w:iCs/>
        </w:rPr>
        <w:t>robust</w:t>
      </w:r>
      <w:r>
        <w:t>.</w:t>
      </w:r>
    </w:p>
    <w:p w14:paraId="46458D21" w14:textId="77777777" w:rsidR="00B7784E" w:rsidRDefault="00B7784E" w:rsidP="00B7784E">
      <w:pPr>
        <w:pStyle w:val="ListParagraph"/>
        <w:numPr>
          <w:ilvl w:val="2"/>
          <w:numId w:val="4"/>
        </w:numPr>
      </w:pPr>
      <w:r w:rsidRPr="00A771AD">
        <w:rPr>
          <w:b/>
        </w:rPr>
        <w:t>Centre_val</w:t>
      </w:r>
      <w:r>
        <w:t>, the central tendency (</w:t>
      </w:r>
      <w:r w:rsidRPr="00FB6808">
        <w:rPr>
          <w:i/>
          <w:iCs/>
        </w:rPr>
        <w:t>mean</w:t>
      </w:r>
      <w:r>
        <w:t xml:space="preserve"> or </w:t>
      </w:r>
      <w:r w:rsidRPr="00FB6808">
        <w:rPr>
          <w:i/>
          <w:iCs/>
        </w:rPr>
        <w:t>median</w:t>
      </w:r>
      <w:r>
        <w:t xml:space="preserve">) calculated from replicate means (or medians) and shown between the error bars on the plot. Default is </w:t>
      </w:r>
      <w:r w:rsidRPr="00FB6808">
        <w:rPr>
          <w:i/>
          <w:iCs/>
        </w:rPr>
        <w:t>mean</w:t>
      </w:r>
      <w:r>
        <w:t>.</w:t>
      </w:r>
    </w:p>
    <w:p w14:paraId="7543F95C" w14:textId="514A52F7" w:rsidR="00B7784E" w:rsidRDefault="00B7784E" w:rsidP="00B7784E">
      <w:pPr>
        <w:pStyle w:val="ListParagraph"/>
        <w:numPr>
          <w:ilvl w:val="2"/>
          <w:numId w:val="4"/>
        </w:numPr>
      </w:pPr>
      <w:r>
        <w:rPr>
          <w:b/>
        </w:rPr>
        <w:t>Error_bars</w:t>
      </w:r>
      <w:r>
        <w:t>, whether to use the standard deviation (</w:t>
      </w:r>
      <w:r w:rsidRPr="00FB6808">
        <w:rPr>
          <w:i/>
          <w:iCs/>
        </w:rPr>
        <w:t>SD</w:t>
      </w:r>
      <w:r>
        <w:t>) or 95% confidence interval (</w:t>
      </w:r>
      <w:r w:rsidRPr="00FB6808">
        <w:rPr>
          <w:i/>
          <w:iCs/>
        </w:rPr>
        <w:t>CI</w:t>
      </w:r>
      <w:r>
        <w:t xml:space="preserve">) for plotting error bars. Default is </w:t>
      </w:r>
      <w:r w:rsidRPr="00FB6808">
        <w:rPr>
          <w:i/>
          <w:iCs/>
        </w:rPr>
        <w:t>SD</w:t>
      </w:r>
      <w:r>
        <w:t>.</w:t>
      </w:r>
    </w:p>
    <w:p w14:paraId="2B5DAC54" w14:textId="6D389DFF" w:rsidR="005E72F9" w:rsidRDefault="005E72F9" w:rsidP="00B7784E">
      <w:pPr>
        <w:pStyle w:val="ListParagraph"/>
        <w:numPr>
          <w:ilvl w:val="2"/>
          <w:numId w:val="4"/>
        </w:numPr>
      </w:pPr>
      <w:r>
        <w:rPr>
          <w:b/>
        </w:rPr>
        <w:t>Bw</w:t>
      </w:r>
      <w:r>
        <w:t>, the smoothening factor for stripe outlines</w:t>
      </w:r>
      <w:r w:rsidR="00632D30">
        <w:t>. Should be between 0 and 1. The d</w:t>
      </w:r>
      <w:r>
        <w:t xml:space="preserve">efault value is </w:t>
      </w:r>
      <w:r w:rsidRPr="00632D30">
        <w:rPr>
          <w:i/>
        </w:rPr>
        <w:t>None</w:t>
      </w:r>
      <w:r>
        <w:t xml:space="preserve"> (automatic determination of the smoothening factor).</w:t>
      </w:r>
    </w:p>
    <w:p w14:paraId="4BC23E79" w14:textId="2E0F02C3" w:rsidR="00B7784E" w:rsidRDefault="00B7784E" w:rsidP="00B7784E">
      <w:pPr>
        <w:pStyle w:val="ListParagraph"/>
        <w:numPr>
          <w:ilvl w:val="2"/>
          <w:numId w:val="4"/>
        </w:numPr>
      </w:pPr>
      <w:r>
        <w:rPr>
          <w:b/>
        </w:rPr>
        <w:t>Statistics</w:t>
      </w:r>
      <w:r>
        <w:t>, choose whe</w:t>
      </w:r>
      <w:bookmarkStart w:id="0" w:name="_GoBack"/>
      <w:bookmarkEnd w:id="0"/>
      <w:r>
        <w:t xml:space="preserve">ther to display statistics on the plot. Only shows statistics for 2 or 3 experimental conditions. Either </w:t>
      </w:r>
      <w:r w:rsidRPr="00FB6808">
        <w:rPr>
          <w:i/>
          <w:iCs/>
        </w:rPr>
        <w:t>yes</w:t>
      </w:r>
      <w:r>
        <w:t xml:space="preserve"> or </w:t>
      </w:r>
      <w:r w:rsidRPr="00FB6808">
        <w:rPr>
          <w:i/>
          <w:iCs/>
        </w:rPr>
        <w:t>no</w:t>
      </w:r>
      <w:r>
        <w:t>.</w:t>
      </w:r>
    </w:p>
    <w:p w14:paraId="75E39221" w14:textId="759A9825" w:rsidR="00B7784E" w:rsidRDefault="00B7784E" w:rsidP="00B7784E">
      <w:pPr>
        <w:pStyle w:val="ListParagraph"/>
        <w:numPr>
          <w:ilvl w:val="2"/>
          <w:numId w:val="4"/>
        </w:numPr>
      </w:pPr>
      <w:r>
        <w:rPr>
          <w:b/>
        </w:rPr>
        <w:t>Ylimits</w:t>
      </w:r>
      <w:r>
        <w:t>, the minimum and maximum values to display on the y-axis. Should be in the form</w:t>
      </w:r>
      <w:r w:rsidR="00FB6808">
        <w:t xml:space="preserve"> of two numbers separated by a comma and a space, like</w:t>
      </w:r>
      <w:r>
        <w:t xml:space="preserve"> </w:t>
      </w:r>
      <w:r w:rsidR="00FB6808">
        <w:rPr>
          <w:i/>
          <w:iCs/>
        </w:rPr>
        <w:t>lo</w:t>
      </w:r>
      <w:r w:rsidRPr="00FB6808">
        <w:rPr>
          <w:i/>
          <w:iCs/>
        </w:rPr>
        <w:t>w, high</w:t>
      </w:r>
      <w:r>
        <w:t xml:space="preserve">. If this argument is to be ignored, leave the value as </w:t>
      </w:r>
      <w:r w:rsidRPr="00FB6808">
        <w:rPr>
          <w:i/>
          <w:iCs/>
        </w:rPr>
        <w:t>None</w:t>
      </w:r>
      <w:r>
        <w:t>.</w:t>
      </w:r>
    </w:p>
    <w:p w14:paraId="3669E497" w14:textId="77777777" w:rsidR="00B7784E" w:rsidRDefault="00B7784E" w:rsidP="00B7784E">
      <w:pPr>
        <w:pStyle w:val="ListParagraph"/>
        <w:numPr>
          <w:ilvl w:val="2"/>
          <w:numId w:val="4"/>
        </w:numPr>
      </w:pPr>
      <w:r>
        <w:rPr>
          <w:b/>
        </w:rPr>
        <w:t>Total_width</w:t>
      </w:r>
      <w:r>
        <w:t>, the percent width of each violin in decimal form. Should be between 0 and 1. Default is 0.8.</w:t>
      </w:r>
    </w:p>
    <w:p w14:paraId="17733E37" w14:textId="77777777" w:rsidR="00B7784E" w:rsidRDefault="00B7784E" w:rsidP="00B7784E">
      <w:pPr>
        <w:pStyle w:val="ListParagraph"/>
        <w:numPr>
          <w:ilvl w:val="2"/>
          <w:numId w:val="4"/>
        </w:numPr>
      </w:pPr>
      <w:r>
        <w:rPr>
          <w:b/>
        </w:rPr>
        <w:t>Linewidth</w:t>
      </w:r>
      <w:r>
        <w:t>, the width of lines (in pixels) used to plot summary statistics and the outline of each violin. Default is 1.</w:t>
      </w:r>
    </w:p>
    <w:p w14:paraId="3B2670CA" w14:textId="77777777" w:rsidR="00B7784E" w:rsidRDefault="00B7784E" w:rsidP="00B7784E">
      <w:pPr>
        <w:pStyle w:val="ListParagraph"/>
        <w:numPr>
          <w:ilvl w:val="2"/>
          <w:numId w:val="4"/>
        </w:numPr>
      </w:pPr>
      <w:r>
        <w:rPr>
          <w:b/>
        </w:rPr>
        <w:t>Cmap</w:t>
      </w:r>
      <w:r>
        <w:t xml:space="preserve">, the colourmap specifying the colours used for the replicates. </w:t>
      </w:r>
      <w:r w:rsidRPr="00E32CE5">
        <w:rPr>
          <w:i/>
          <w:iCs/>
        </w:rPr>
        <w:t>Set2</w:t>
      </w:r>
      <w:r>
        <w:t xml:space="preserve"> is the default colourmap, but users can specify a list of colours or a colourmap of their choosing from </w:t>
      </w:r>
      <w:hyperlink r:id="rId17" w:history="1">
        <w:r w:rsidRPr="00DC14CD">
          <w:rPr>
            <w:rStyle w:val="Hyperlink"/>
          </w:rPr>
          <w:t>https://matplotlib.org/stable/gallery/color/named_colors.html</w:t>
        </w:r>
      </w:hyperlink>
      <w:r>
        <w:t xml:space="preserve"> or </w:t>
      </w:r>
      <w:hyperlink r:id="rId18" w:history="1">
        <w:r w:rsidRPr="00DC14CD">
          <w:rPr>
            <w:rStyle w:val="Hyperlink"/>
          </w:rPr>
          <w:t>https://matplotlib.org/stable/tutorials/colors/colormaps.html</w:t>
        </w:r>
      </w:hyperlink>
      <w:r>
        <w:t xml:space="preserve"> </w:t>
      </w:r>
    </w:p>
    <w:p w14:paraId="4CC1C0AF" w14:textId="152791F5" w:rsidR="00B7784E" w:rsidRDefault="00B7784E" w:rsidP="00B7784E">
      <w:pPr>
        <w:pStyle w:val="ListParagraph"/>
        <w:numPr>
          <w:ilvl w:val="2"/>
          <w:numId w:val="4"/>
        </w:numPr>
      </w:pPr>
      <w:r>
        <w:rPr>
          <w:b/>
        </w:rPr>
        <w:t>Dpi</w:t>
      </w:r>
      <w:r>
        <w:t xml:space="preserve">, the dots per inch used for saving the plots. Plots are rendered at 300dpi for display purposes, but </w:t>
      </w:r>
      <w:r w:rsidR="00E32CE5">
        <w:t>can be</w:t>
      </w:r>
      <w:r>
        <w:t xml:space="preserve"> saved at </w:t>
      </w:r>
      <w:r w:rsidR="00E32CE5">
        <w:t>a different</w:t>
      </w:r>
      <w:r>
        <w:t xml:space="preserve"> resolution,</w:t>
      </w:r>
      <w:r w:rsidR="00E32CE5">
        <w:t xml:space="preserve"> specified by this argument. </w:t>
      </w:r>
      <w:r>
        <w:t xml:space="preserve">The default value for saving is </w:t>
      </w:r>
      <w:r w:rsidRPr="00E32CE5">
        <w:rPr>
          <w:i/>
          <w:iCs/>
        </w:rPr>
        <w:t>600</w:t>
      </w:r>
      <w:r w:rsidR="00E32CE5">
        <w:t xml:space="preserve"> </w:t>
      </w:r>
      <w:r>
        <w:t xml:space="preserve">dpi, but can </w:t>
      </w:r>
      <w:r w:rsidR="00E32CE5">
        <w:t xml:space="preserve">be changed to reduce file size or increase resolution, </w:t>
      </w:r>
      <w:r>
        <w:t xml:space="preserve">e.g. </w:t>
      </w:r>
      <w:r w:rsidRPr="00E32CE5">
        <w:rPr>
          <w:i/>
          <w:iCs/>
        </w:rPr>
        <w:t>300</w:t>
      </w:r>
      <w:r>
        <w:t xml:space="preserve"> or </w:t>
      </w:r>
      <w:r w:rsidRPr="00E32CE5">
        <w:rPr>
          <w:i/>
          <w:iCs/>
        </w:rPr>
        <w:t>1200</w:t>
      </w:r>
      <w:r w:rsidR="00E32CE5">
        <w:t xml:space="preserve"> dpi</w:t>
      </w:r>
      <w:r>
        <w:t>.</w:t>
      </w:r>
    </w:p>
    <w:p w14:paraId="043B9F86" w14:textId="77777777" w:rsidR="00B7784E" w:rsidRPr="00F730D0" w:rsidRDefault="00B7784E" w:rsidP="00DB110B"/>
    <w:sectPr w:rsidR="00B7784E" w:rsidRPr="00F730D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F3B0BD" w14:textId="77777777" w:rsidR="006148EA" w:rsidRDefault="006148EA" w:rsidP="005F48DF">
      <w:pPr>
        <w:spacing w:after="0" w:line="240" w:lineRule="auto"/>
      </w:pPr>
      <w:r>
        <w:separator/>
      </w:r>
    </w:p>
  </w:endnote>
  <w:endnote w:type="continuationSeparator" w:id="0">
    <w:p w14:paraId="4BC5EFFF" w14:textId="77777777" w:rsidR="006148EA" w:rsidRDefault="006148EA" w:rsidP="005F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70B94" w14:textId="77777777" w:rsidR="00752E72" w:rsidRDefault="00752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999947"/>
      <w:docPartObj>
        <w:docPartGallery w:val="Page Numbers (Bottom of Page)"/>
        <w:docPartUnique/>
      </w:docPartObj>
    </w:sdtPr>
    <w:sdtEndPr>
      <w:rPr>
        <w:noProof/>
      </w:rPr>
    </w:sdtEndPr>
    <w:sdtContent>
      <w:p w14:paraId="3D170266" w14:textId="65F9F56C" w:rsidR="00E02E99" w:rsidRDefault="00E02E99">
        <w:pPr>
          <w:pStyle w:val="Footer"/>
          <w:jc w:val="right"/>
        </w:pPr>
        <w:r>
          <w:fldChar w:fldCharType="begin"/>
        </w:r>
        <w:r>
          <w:instrText xml:space="preserve"> PAGE   \* MERGEFORMAT </w:instrText>
        </w:r>
        <w:r>
          <w:fldChar w:fldCharType="separate"/>
        </w:r>
        <w:r w:rsidR="00632D30">
          <w:rPr>
            <w:noProof/>
          </w:rPr>
          <w:t>8</w:t>
        </w:r>
        <w:r>
          <w:rPr>
            <w:noProof/>
          </w:rPr>
          <w:fldChar w:fldCharType="end"/>
        </w:r>
      </w:p>
    </w:sdtContent>
  </w:sdt>
  <w:p w14:paraId="36C3CA9D" w14:textId="77777777" w:rsidR="00E02E99" w:rsidRDefault="00E02E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57542" w14:textId="77777777" w:rsidR="00752E72" w:rsidRDefault="00752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65554" w14:textId="77777777" w:rsidR="006148EA" w:rsidRDefault="006148EA" w:rsidP="005F48DF">
      <w:pPr>
        <w:spacing w:after="0" w:line="240" w:lineRule="auto"/>
      </w:pPr>
      <w:r>
        <w:separator/>
      </w:r>
    </w:p>
  </w:footnote>
  <w:footnote w:type="continuationSeparator" w:id="0">
    <w:p w14:paraId="57C8451C" w14:textId="77777777" w:rsidR="006148EA" w:rsidRDefault="006148EA" w:rsidP="005F4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C1DA6" w14:textId="77777777" w:rsidR="00752E72" w:rsidRDefault="00752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4D76" w14:textId="77777777" w:rsidR="00752E72" w:rsidRDefault="00752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61099" w14:textId="77777777" w:rsidR="00752E72" w:rsidRDefault="0075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3C74"/>
    <w:multiLevelType w:val="hybridMultilevel"/>
    <w:tmpl w:val="26E454DC"/>
    <w:lvl w:ilvl="0" w:tplc="A188690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17A4E"/>
    <w:multiLevelType w:val="hybridMultilevel"/>
    <w:tmpl w:val="9EA47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4645F"/>
    <w:multiLevelType w:val="hybridMultilevel"/>
    <w:tmpl w:val="BFDE54F6"/>
    <w:lvl w:ilvl="0" w:tplc="0D7CC04A">
      <w:start w:val="4"/>
      <w:numFmt w:val="decimal"/>
      <w:lvlText w:val="%1."/>
      <w:lvlJc w:val="left"/>
      <w:pPr>
        <w:ind w:left="720" w:hanging="360"/>
      </w:pPr>
      <w:rPr>
        <w:rFonts w:ascii="Arial" w:hAnsi="Arial" w:cs="Aria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C7C28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2D169D"/>
    <w:multiLevelType w:val="hybridMultilevel"/>
    <w:tmpl w:val="02E6812A"/>
    <w:lvl w:ilvl="0" w:tplc="A188690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27B3F"/>
    <w:multiLevelType w:val="hybridMultilevel"/>
    <w:tmpl w:val="0944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139E6"/>
    <w:multiLevelType w:val="hybridMultilevel"/>
    <w:tmpl w:val="1D8AA0E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57114FE"/>
    <w:multiLevelType w:val="hybridMultilevel"/>
    <w:tmpl w:val="CCF6B8BA"/>
    <w:lvl w:ilvl="0" w:tplc="BCBE556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E21CEF"/>
    <w:multiLevelType w:val="hybridMultilevel"/>
    <w:tmpl w:val="4EEE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3"/>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671"/>
    <w:rsid w:val="00002AFB"/>
    <w:rsid w:val="00035EC9"/>
    <w:rsid w:val="00041C33"/>
    <w:rsid w:val="00054A5D"/>
    <w:rsid w:val="000815DD"/>
    <w:rsid w:val="00084434"/>
    <w:rsid w:val="000A6063"/>
    <w:rsid w:val="000B134A"/>
    <w:rsid w:val="000C3BD5"/>
    <w:rsid w:val="000D4B0A"/>
    <w:rsid w:val="000E2CE5"/>
    <w:rsid w:val="000F0068"/>
    <w:rsid w:val="000F3F2D"/>
    <w:rsid w:val="000F5EF7"/>
    <w:rsid w:val="000F6664"/>
    <w:rsid w:val="00107887"/>
    <w:rsid w:val="00123898"/>
    <w:rsid w:val="00131D7B"/>
    <w:rsid w:val="00142B7E"/>
    <w:rsid w:val="00153C40"/>
    <w:rsid w:val="00195932"/>
    <w:rsid w:val="001A3935"/>
    <w:rsid w:val="001A573D"/>
    <w:rsid w:val="001C4D6C"/>
    <w:rsid w:val="001D175C"/>
    <w:rsid w:val="001D354B"/>
    <w:rsid w:val="001D37BB"/>
    <w:rsid w:val="001E7B83"/>
    <w:rsid w:val="001F5432"/>
    <w:rsid w:val="00201710"/>
    <w:rsid w:val="00214CA3"/>
    <w:rsid w:val="002202B5"/>
    <w:rsid w:val="00233C3C"/>
    <w:rsid w:val="00251DE8"/>
    <w:rsid w:val="002765F7"/>
    <w:rsid w:val="002A02EF"/>
    <w:rsid w:val="002B0CDA"/>
    <w:rsid w:val="002C51A2"/>
    <w:rsid w:val="002C5464"/>
    <w:rsid w:val="002D7DD1"/>
    <w:rsid w:val="002F266E"/>
    <w:rsid w:val="002F31BB"/>
    <w:rsid w:val="002F7424"/>
    <w:rsid w:val="00310FAD"/>
    <w:rsid w:val="00336C66"/>
    <w:rsid w:val="00357DDF"/>
    <w:rsid w:val="00372473"/>
    <w:rsid w:val="003D515D"/>
    <w:rsid w:val="003D7426"/>
    <w:rsid w:val="003E276C"/>
    <w:rsid w:val="004025BA"/>
    <w:rsid w:val="00420DDB"/>
    <w:rsid w:val="004624FB"/>
    <w:rsid w:val="00474731"/>
    <w:rsid w:val="0048197F"/>
    <w:rsid w:val="004C5252"/>
    <w:rsid w:val="004E3E4F"/>
    <w:rsid w:val="005061E6"/>
    <w:rsid w:val="005124EC"/>
    <w:rsid w:val="00514CAE"/>
    <w:rsid w:val="005161F0"/>
    <w:rsid w:val="00540DF0"/>
    <w:rsid w:val="00575C94"/>
    <w:rsid w:val="005D4B35"/>
    <w:rsid w:val="005E72F9"/>
    <w:rsid w:val="005F39C3"/>
    <w:rsid w:val="005F48DF"/>
    <w:rsid w:val="005F54C8"/>
    <w:rsid w:val="005F7C5A"/>
    <w:rsid w:val="00612C3A"/>
    <w:rsid w:val="0061359F"/>
    <w:rsid w:val="006148EA"/>
    <w:rsid w:val="00615676"/>
    <w:rsid w:val="00632D30"/>
    <w:rsid w:val="00634BD0"/>
    <w:rsid w:val="006476F5"/>
    <w:rsid w:val="00647F6D"/>
    <w:rsid w:val="006664BC"/>
    <w:rsid w:val="00670C2B"/>
    <w:rsid w:val="00676947"/>
    <w:rsid w:val="006A64AA"/>
    <w:rsid w:val="006D158F"/>
    <w:rsid w:val="006D18DF"/>
    <w:rsid w:val="006E7866"/>
    <w:rsid w:val="006F02BA"/>
    <w:rsid w:val="00706404"/>
    <w:rsid w:val="00712F24"/>
    <w:rsid w:val="0072382F"/>
    <w:rsid w:val="0073456C"/>
    <w:rsid w:val="007460DD"/>
    <w:rsid w:val="00752E72"/>
    <w:rsid w:val="007A0993"/>
    <w:rsid w:val="007A744F"/>
    <w:rsid w:val="007C497E"/>
    <w:rsid w:val="007D26DC"/>
    <w:rsid w:val="007E4291"/>
    <w:rsid w:val="007F3BD6"/>
    <w:rsid w:val="008564C8"/>
    <w:rsid w:val="00862076"/>
    <w:rsid w:val="00866828"/>
    <w:rsid w:val="008669D9"/>
    <w:rsid w:val="00891303"/>
    <w:rsid w:val="008B0C7E"/>
    <w:rsid w:val="008D5EEF"/>
    <w:rsid w:val="008F21BA"/>
    <w:rsid w:val="00903B5B"/>
    <w:rsid w:val="009071BF"/>
    <w:rsid w:val="00922747"/>
    <w:rsid w:val="00922D11"/>
    <w:rsid w:val="00935783"/>
    <w:rsid w:val="009362EA"/>
    <w:rsid w:val="009548FF"/>
    <w:rsid w:val="00981850"/>
    <w:rsid w:val="009818A4"/>
    <w:rsid w:val="009851E9"/>
    <w:rsid w:val="0098711A"/>
    <w:rsid w:val="009A474E"/>
    <w:rsid w:val="009A5D5F"/>
    <w:rsid w:val="009F4396"/>
    <w:rsid w:val="00A053A8"/>
    <w:rsid w:val="00A152CF"/>
    <w:rsid w:val="00A27809"/>
    <w:rsid w:val="00A53BCF"/>
    <w:rsid w:val="00A76CFE"/>
    <w:rsid w:val="00A771AD"/>
    <w:rsid w:val="00A86044"/>
    <w:rsid w:val="00A87D2F"/>
    <w:rsid w:val="00A91716"/>
    <w:rsid w:val="00AD542A"/>
    <w:rsid w:val="00AE42BC"/>
    <w:rsid w:val="00AE7C2B"/>
    <w:rsid w:val="00AF140C"/>
    <w:rsid w:val="00B27E7A"/>
    <w:rsid w:val="00B310C4"/>
    <w:rsid w:val="00B40947"/>
    <w:rsid w:val="00B53420"/>
    <w:rsid w:val="00B7784E"/>
    <w:rsid w:val="00BB499D"/>
    <w:rsid w:val="00BE2393"/>
    <w:rsid w:val="00BE39DC"/>
    <w:rsid w:val="00BF1414"/>
    <w:rsid w:val="00C042AF"/>
    <w:rsid w:val="00C55121"/>
    <w:rsid w:val="00C576B1"/>
    <w:rsid w:val="00C60D85"/>
    <w:rsid w:val="00C77343"/>
    <w:rsid w:val="00C80727"/>
    <w:rsid w:val="00C92679"/>
    <w:rsid w:val="00CA6E07"/>
    <w:rsid w:val="00CD0AF9"/>
    <w:rsid w:val="00D6330B"/>
    <w:rsid w:val="00D66944"/>
    <w:rsid w:val="00DB110B"/>
    <w:rsid w:val="00E02E99"/>
    <w:rsid w:val="00E03716"/>
    <w:rsid w:val="00E25ED1"/>
    <w:rsid w:val="00E27EB1"/>
    <w:rsid w:val="00E32CE5"/>
    <w:rsid w:val="00E42579"/>
    <w:rsid w:val="00E53717"/>
    <w:rsid w:val="00E57FA7"/>
    <w:rsid w:val="00E6140B"/>
    <w:rsid w:val="00E73E59"/>
    <w:rsid w:val="00E852D0"/>
    <w:rsid w:val="00E87A13"/>
    <w:rsid w:val="00E87A6A"/>
    <w:rsid w:val="00EB7A82"/>
    <w:rsid w:val="00EC3E2A"/>
    <w:rsid w:val="00ED2D56"/>
    <w:rsid w:val="00ED7671"/>
    <w:rsid w:val="00F03597"/>
    <w:rsid w:val="00F366D5"/>
    <w:rsid w:val="00F40D36"/>
    <w:rsid w:val="00F67CB6"/>
    <w:rsid w:val="00F730D0"/>
    <w:rsid w:val="00FA0595"/>
    <w:rsid w:val="00FB31F8"/>
    <w:rsid w:val="00FB34ED"/>
    <w:rsid w:val="00FB3710"/>
    <w:rsid w:val="00FB6808"/>
    <w:rsid w:val="00FE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ABE1C5"/>
  <w15:chartTrackingRefBased/>
  <w15:docId w15:val="{4AB79C82-1C1E-4D93-A811-5D1298966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4AA"/>
    <w:rPr>
      <w:rFonts w:ascii="Arial" w:hAnsi="Arial"/>
      <w:sz w:val="24"/>
      <w:lang w:val="en-IE"/>
    </w:rPr>
  </w:style>
  <w:style w:type="paragraph" w:styleId="Heading1">
    <w:name w:val="heading 1"/>
    <w:basedOn w:val="Normal"/>
    <w:next w:val="Normal"/>
    <w:link w:val="Heading1Char"/>
    <w:uiPriority w:val="9"/>
    <w:qFormat/>
    <w:rsid w:val="005F48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C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8DF"/>
    <w:rPr>
      <w:rFonts w:ascii="Arial" w:hAnsi="Arial"/>
      <w:sz w:val="24"/>
      <w:lang w:val="en-IE"/>
    </w:rPr>
  </w:style>
  <w:style w:type="paragraph" w:styleId="Footer">
    <w:name w:val="footer"/>
    <w:basedOn w:val="Normal"/>
    <w:link w:val="FooterChar"/>
    <w:uiPriority w:val="99"/>
    <w:unhideWhenUsed/>
    <w:rsid w:val="005F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8DF"/>
    <w:rPr>
      <w:rFonts w:ascii="Arial" w:hAnsi="Arial"/>
      <w:sz w:val="24"/>
      <w:lang w:val="en-IE"/>
    </w:rPr>
  </w:style>
  <w:style w:type="character" w:customStyle="1" w:styleId="Heading1Char">
    <w:name w:val="Heading 1 Char"/>
    <w:basedOn w:val="DefaultParagraphFont"/>
    <w:link w:val="Heading1"/>
    <w:uiPriority w:val="9"/>
    <w:rsid w:val="005F48DF"/>
    <w:rPr>
      <w:rFonts w:asciiTheme="majorHAnsi" w:eastAsiaTheme="majorEastAsia" w:hAnsiTheme="majorHAnsi" w:cstheme="majorBidi"/>
      <w:color w:val="2E74B5" w:themeColor="accent1" w:themeShade="BF"/>
      <w:sz w:val="32"/>
      <w:szCs w:val="32"/>
      <w:lang w:val="en-IE"/>
    </w:rPr>
  </w:style>
  <w:style w:type="paragraph" w:styleId="ListParagraph">
    <w:name w:val="List Paragraph"/>
    <w:basedOn w:val="Normal"/>
    <w:uiPriority w:val="34"/>
    <w:qFormat/>
    <w:rsid w:val="008669D9"/>
    <w:pPr>
      <w:ind w:left="720"/>
      <w:contextualSpacing/>
    </w:pPr>
  </w:style>
  <w:style w:type="character" w:styleId="Hyperlink">
    <w:name w:val="Hyperlink"/>
    <w:basedOn w:val="DefaultParagraphFont"/>
    <w:uiPriority w:val="99"/>
    <w:unhideWhenUsed/>
    <w:rsid w:val="003D7426"/>
    <w:rPr>
      <w:color w:val="0563C1" w:themeColor="hyperlink"/>
      <w:u w:val="single"/>
    </w:rPr>
  </w:style>
  <w:style w:type="character" w:styleId="CommentReference">
    <w:name w:val="annotation reference"/>
    <w:basedOn w:val="DefaultParagraphFont"/>
    <w:uiPriority w:val="99"/>
    <w:semiHidden/>
    <w:unhideWhenUsed/>
    <w:rsid w:val="007C497E"/>
    <w:rPr>
      <w:sz w:val="16"/>
      <w:szCs w:val="16"/>
    </w:rPr>
  </w:style>
  <w:style w:type="paragraph" w:styleId="CommentText">
    <w:name w:val="annotation text"/>
    <w:basedOn w:val="Normal"/>
    <w:link w:val="CommentTextChar"/>
    <w:uiPriority w:val="99"/>
    <w:semiHidden/>
    <w:unhideWhenUsed/>
    <w:rsid w:val="007C497E"/>
    <w:pPr>
      <w:spacing w:line="240" w:lineRule="auto"/>
    </w:pPr>
    <w:rPr>
      <w:sz w:val="20"/>
      <w:szCs w:val="20"/>
    </w:rPr>
  </w:style>
  <w:style w:type="character" w:customStyle="1" w:styleId="CommentTextChar">
    <w:name w:val="Comment Text Char"/>
    <w:basedOn w:val="DefaultParagraphFont"/>
    <w:link w:val="CommentText"/>
    <w:uiPriority w:val="99"/>
    <w:semiHidden/>
    <w:rsid w:val="007C497E"/>
    <w:rPr>
      <w:rFonts w:ascii="Arial" w:hAnsi="Arial"/>
      <w:sz w:val="20"/>
      <w:szCs w:val="20"/>
      <w:lang w:val="en-IE"/>
    </w:rPr>
  </w:style>
  <w:style w:type="paragraph" w:styleId="CommentSubject">
    <w:name w:val="annotation subject"/>
    <w:basedOn w:val="CommentText"/>
    <w:next w:val="CommentText"/>
    <w:link w:val="CommentSubjectChar"/>
    <w:uiPriority w:val="99"/>
    <w:semiHidden/>
    <w:unhideWhenUsed/>
    <w:rsid w:val="007C497E"/>
    <w:rPr>
      <w:b/>
      <w:bCs/>
    </w:rPr>
  </w:style>
  <w:style w:type="character" w:customStyle="1" w:styleId="CommentSubjectChar">
    <w:name w:val="Comment Subject Char"/>
    <w:basedOn w:val="CommentTextChar"/>
    <w:link w:val="CommentSubject"/>
    <w:uiPriority w:val="99"/>
    <w:semiHidden/>
    <w:rsid w:val="007C497E"/>
    <w:rPr>
      <w:rFonts w:ascii="Arial" w:hAnsi="Arial"/>
      <w:b/>
      <w:bCs/>
      <w:sz w:val="20"/>
      <w:szCs w:val="20"/>
      <w:lang w:val="en-IE"/>
    </w:rPr>
  </w:style>
  <w:style w:type="paragraph" w:styleId="BalloonText">
    <w:name w:val="Balloon Text"/>
    <w:basedOn w:val="Normal"/>
    <w:link w:val="BalloonTextChar"/>
    <w:uiPriority w:val="99"/>
    <w:semiHidden/>
    <w:unhideWhenUsed/>
    <w:rsid w:val="007C4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97E"/>
    <w:rPr>
      <w:rFonts w:ascii="Segoe UI" w:hAnsi="Segoe UI" w:cs="Segoe UI"/>
      <w:sz w:val="18"/>
      <w:szCs w:val="18"/>
      <w:lang w:val="en-IE"/>
    </w:rPr>
  </w:style>
  <w:style w:type="character" w:customStyle="1" w:styleId="Heading2Char">
    <w:name w:val="Heading 2 Char"/>
    <w:basedOn w:val="DefaultParagraphFont"/>
    <w:link w:val="Heading2"/>
    <w:uiPriority w:val="9"/>
    <w:rsid w:val="00233C3C"/>
    <w:rPr>
      <w:rFonts w:asciiTheme="majorHAnsi" w:eastAsiaTheme="majorEastAsia" w:hAnsiTheme="majorHAnsi" w:cstheme="majorBidi"/>
      <w:color w:val="2E74B5" w:themeColor="accent1" w:themeShade="BF"/>
      <w:sz w:val="26"/>
      <w:szCs w:val="26"/>
      <w:lang w:val="en-IE"/>
    </w:rPr>
  </w:style>
  <w:style w:type="character" w:styleId="FollowedHyperlink">
    <w:name w:val="FollowedHyperlink"/>
    <w:basedOn w:val="DefaultParagraphFont"/>
    <w:uiPriority w:val="99"/>
    <w:semiHidden/>
    <w:unhideWhenUsed/>
    <w:rsid w:val="00ED2D56"/>
    <w:rPr>
      <w:color w:val="954F72" w:themeColor="followedHyperlink"/>
      <w:u w:val="single"/>
    </w:rPr>
  </w:style>
  <w:style w:type="table" w:styleId="TableGrid">
    <w:name w:val="Table Grid"/>
    <w:basedOn w:val="TableNormal"/>
    <w:uiPriority w:val="39"/>
    <w:rsid w:val="00B4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C3BD5"/>
    <w:rPr>
      <w:color w:val="605E5C"/>
      <w:shd w:val="clear" w:color="auto" w:fill="E1DFDD"/>
    </w:rPr>
  </w:style>
  <w:style w:type="table" w:styleId="GridTable2">
    <w:name w:val="Grid Table 2"/>
    <w:basedOn w:val="TableNormal"/>
    <w:uiPriority w:val="47"/>
    <w:rsid w:val="001F543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0815D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2">
    <w:name w:val="Unresolved Mention2"/>
    <w:basedOn w:val="DefaultParagraphFont"/>
    <w:uiPriority w:val="99"/>
    <w:semiHidden/>
    <w:unhideWhenUsed/>
    <w:rsid w:val="007A0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820684">
      <w:bodyDiv w:val="1"/>
      <w:marLeft w:val="0"/>
      <w:marRight w:val="0"/>
      <w:marTop w:val="0"/>
      <w:marBottom w:val="0"/>
      <w:divBdr>
        <w:top w:val="none" w:sz="0" w:space="0" w:color="auto"/>
        <w:left w:val="none" w:sz="0" w:space="0" w:color="auto"/>
        <w:bottom w:val="none" w:sz="0" w:space="0" w:color="auto"/>
        <w:right w:val="none" w:sz="0" w:space="0" w:color="auto"/>
      </w:divBdr>
    </w:div>
    <w:div w:id="19624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matplotlib.org/stable/tutorials/colors/colormap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matplotlib.org/stable/gallery/color/named_colors.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ythonforundergradengineers.com/unicode-characters-in-python.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kenny5@tcd.ie"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docs.conda.io/en/latest/miniconda.html"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4E7090FD768048BBF20DF4A33EC463" ma:contentTypeVersion="12" ma:contentTypeDescription="Create a new document." ma:contentTypeScope="" ma:versionID="9268ba4b50c1107fb2774cb738e6932a">
  <xsd:schema xmlns:xsd="http://www.w3.org/2001/XMLSchema" xmlns:xs="http://www.w3.org/2001/XMLSchema" xmlns:p="http://schemas.microsoft.com/office/2006/metadata/properties" xmlns:ns3="7ade48e6-632a-4981-8c46-1b22ac82b408" xmlns:ns4="6aab0024-d8ea-4836-bba9-78b3aa612db8" targetNamespace="http://schemas.microsoft.com/office/2006/metadata/properties" ma:root="true" ma:fieldsID="df85a911f98f51ac8c125222c558b5fe" ns3:_="" ns4:_="">
    <xsd:import namespace="7ade48e6-632a-4981-8c46-1b22ac82b408"/>
    <xsd:import namespace="6aab0024-d8ea-4836-bba9-78b3aa612db8"/>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de48e6-632a-4981-8c46-1b22ac82b408"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b0024-d8ea-4836-bba9-78b3aa612db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5A59BD-E182-43EA-8675-94D82EA86DAF}">
  <ds:schemaRefs>
    <ds:schemaRef ds:uri="http://schemas.microsoft.com/sharepoint/v3/contenttype/forms"/>
  </ds:schemaRefs>
</ds:datastoreItem>
</file>

<file path=customXml/itemProps2.xml><?xml version="1.0" encoding="utf-8"?>
<ds:datastoreItem xmlns:ds="http://schemas.openxmlformats.org/officeDocument/2006/customXml" ds:itemID="{659C0524-F0B1-46EA-98ED-51F59DDA0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de48e6-632a-4981-8c46-1b22ac82b408"/>
    <ds:schemaRef ds:uri="6aab0024-d8ea-4836-bba9-78b3aa612d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91C429-D713-42F9-B8FA-6725BA10B8AD}">
  <ds:schemaRefs>
    <ds:schemaRef ds:uri="http://schemas.microsoft.com/office/2006/documentManagement/types"/>
    <ds:schemaRef ds:uri="6aab0024-d8ea-4836-bba9-78b3aa612db8"/>
    <ds:schemaRef ds:uri="http://purl.org/dc/terms/"/>
    <ds:schemaRef ds:uri="http://purl.org/dc/elements/1.1/"/>
    <ds:schemaRef ds:uri="http://schemas.openxmlformats.org/package/2006/metadata/core-properties"/>
    <ds:schemaRef ds:uri="7ade48e6-632a-4981-8c46-1b22ac82b408"/>
    <ds:schemaRef ds:uri="http://www.w3.org/XML/1998/namespace"/>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RCSI</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Kenny</dc:creator>
  <cp:keywords/>
  <dc:description/>
  <cp:lastModifiedBy>Martin Kenny</cp:lastModifiedBy>
  <cp:revision>6</cp:revision>
  <dcterms:created xsi:type="dcterms:W3CDTF">2021-03-04T11:07:00Z</dcterms:created>
  <dcterms:modified xsi:type="dcterms:W3CDTF">2021-03-12T15:12:00Z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0x010100924E7090FD768048BBF20DF4A33EC463</vt:lpwstr>
  </property>
</Properties>
</file>