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2-54-25422$SUDHL8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B732F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0B732F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0B732F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B732F">
              <w:rPr>
                <w:w w:val="75"/>
              </w:rPr>
              <w:t> TX-LG-093</w:t>
            </w:r>
            <w:r w:rsidRPr="000B732F">
              <w:rPr>
                <w:spacing w:val="16"/>
                <w:w w:val="75"/>
              </w:rPr>
              <w:t>h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B732F">
              <w:rPr>
                <w:rFonts w:ascii="Times New Roman" w:hAnsi="Times New Roman"/>
                <w:b/>
                <w:color w:val="FF0000"/>
                <w:spacing w:val="8"/>
                <w:w w:val="94"/>
                <w:sz w:val="20"/>
                <w:szCs w:val="20"/>
              </w:rPr>
              <w:t xml:space="preserve"> COG </w:t>
            </w:r>
            <w:r w:rsidRPr="000B732F">
              <w:rPr>
                <w:rFonts w:ascii="Times New Roman" w:hAnsi="Times New Roman"/>
                <w:b/>
                <w:color w:val="000000"/>
                <w:spacing w:val="8"/>
                <w:w w:val="94"/>
                <w:sz w:val="20"/>
                <w:szCs w:val="20"/>
              </w:rPr>
              <w:t>Best Match Cell Line No</w:t>
            </w:r>
            <w:r w:rsidRPr="000B732F">
              <w:rPr>
                <w:rFonts w:ascii="Times New Roman" w:hAnsi="Times New Roman"/>
                <w:b/>
                <w:color w:val="000000"/>
                <w:spacing w:val="10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B732F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B732F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0B732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B732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B732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7,12 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B732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B732F">
              <w:rPr>
                <w:color w:val="FF0000"/>
              </w:rPr>
              <w:t>15</w:t>
            </w:r>
            <w:r w:rsidRPr="0034455C">
              <w:t>,</w:t>
            </w:r>
            <w:r w:rsidRPr="000B732F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B732F">
              <w:rPr>
                <w:color w:val="FF0000"/>
              </w:rPr>
              <w:t>6</w:t>
            </w:r>
            <w:r w:rsidRPr="0034455C">
              <w:t>,</w:t>
            </w:r>
            <w:r w:rsidRPr="000B732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B732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B732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B732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B732F">
              <w:rPr>
                <w:color w:val="FF0000"/>
              </w:rPr>
              <w:t>30</w:t>
            </w: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2-54-25422$SUDHL8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0B732F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