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b/>
          <w:bCs/>
          <w:color w:val="1F3864"/>
          <w:sz w:val="36"/>
          <w:szCs w:val="36"/>
        </w:rPr>
        <w:t xml:space="preserve">Telco Customer Churn — ML Final Project Documentation</w:t>
      </w:r>
    </w:p>
    <w:p>
      <w:pPr>
        <w:pStyle w:val="Heading1"/>
        <w:spacing w:after="150" w:before="300"/>
      </w:pPr>
      <w:r>
        <w:t xml:space="preserve">1. Dataset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Source: Telco Customer Churn (IBM dataset), Kaggle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Size: 7,043 customers, 21 original columns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Target: </w:t>
      </w:r>
      <w:r>
        <w:rPr>
          <w:rFonts w:ascii="Consolas" w:cs="Consolas" w:eastAsia="Consolas" w:hAnsi="Consolas"/>
          <w:sz w:val="20"/>
          <w:szCs w:val="20"/>
        </w:rPr>
        <w:t xml:space="preserve">Churn</w:t>
      </w:r>
      <w:r>
        <w:t xml:space="preserve"> (Yes/No) — binary classification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Class distribution: ~73.5% No Churn, ~26.5% Churn (moderate imbalance)</w:t>
      </w:r>
    </w:p>
    <w:p>
      <w:pPr>
        <w:pStyle w:val="Heading1"/>
        <w:spacing w:after="150" w:before="300"/>
      </w:pPr>
      <w:r>
        <w:t xml:space="preserve">2. Data Cleaning</w:t>
      </w:r>
    </w:p>
    <w:p>
      <w:pPr>
        <w:pStyle w:val="Heading2"/>
        <w:spacing w:after="100" w:before="200"/>
      </w:pPr>
      <w:r>
        <w:t xml:space="preserve">2.1 Dropped customerID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Reason: unique identifier per row, carries no predictive signal, risk of encoding as a spurious high-cardinality feature.</w:t>
      </w:r>
    </w:p>
    <w:p>
      <w:pPr>
        <w:pStyle w:val="Heading2"/>
        <w:spacing w:after="100" w:before="200"/>
      </w:pPr>
      <w:r>
        <w:t xml:space="preserve">2.2 Identified and removed duplicate rows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After dropping </w:t>
      </w:r>
      <w:r>
        <w:rPr>
          <w:rFonts w:ascii="Consolas" w:cs="Consolas" w:eastAsia="Consolas" w:hAnsi="Consolas"/>
          <w:sz w:val="20"/>
          <w:szCs w:val="20"/>
        </w:rPr>
        <w:t xml:space="preserve">customerID</w:t>
      </w:r>
      <w:r>
        <w:t xml:space="preserve">, 22 rows became fully identical across all remaining features.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Removed via </w:t>
      </w:r>
      <w:r>
        <w:rPr>
          <w:rFonts w:ascii="Consolas" w:cs="Consolas" w:eastAsia="Consolas" w:hAnsi="Consolas"/>
          <w:sz w:val="20"/>
          <w:szCs w:val="20"/>
        </w:rPr>
        <w:t xml:space="preserve">df.drop_duplicates()</w:t>
      </w:r>
      <w:r>
        <w:t xml:space="preserve"> to avoid data leakage (duplicate rows could otherwise be split across train/test).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Dataset size after removal: 7,021 rows.</w:t>
      </w:r>
    </w:p>
    <w:p>
      <w:pPr>
        <w:pStyle w:val="Heading2"/>
        <w:spacing w:after="100" w:before="200"/>
      </w:pPr>
      <w:r>
        <w:t xml:space="preserve">2.3 Fixed TotalCharges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Originally stored as string type; blank strings caused it to be non-numeric.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Converted with </w:t>
      </w:r>
      <w:r>
        <w:rPr>
          <w:rFonts w:ascii="Consolas" w:cs="Consolas" w:eastAsia="Consolas" w:hAnsi="Consolas"/>
          <w:sz w:val="20"/>
          <w:szCs w:val="20"/>
        </w:rPr>
        <w:t xml:space="preserve">pd.to_numeric(..., errors='coerce')</w:t>
      </w:r>
      <w:r>
        <w:t xml:space="preserve">, which exposed 11 missing values.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Investigated cause: all missing rows had </w:t>
      </w:r>
      <w:r>
        <w:rPr>
          <w:rFonts w:ascii="Consolas" w:cs="Consolas" w:eastAsia="Consolas" w:hAnsi="Consolas"/>
          <w:sz w:val="20"/>
          <w:szCs w:val="20"/>
        </w:rPr>
        <w:t xml:space="preserve">tenure == 0</w:t>
      </w:r>
      <w:r>
        <w:t xml:space="preserve"> (new customers with no billing history yet).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Fix: filled missing values with </w:t>
      </w:r>
      <w:r>
        <w:rPr>
          <w:rFonts w:ascii="Consolas" w:cs="Consolas" w:eastAsia="Consolas" w:hAnsi="Consolas"/>
          <w:sz w:val="20"/>
          <w:szCs w:val="20"/>
        </w:rPr>
        <w:t xml:space="preserve">0</w:t>
      </w:r>
      <w:r>
        <w:t xml:space="preserve"> (a logical constant, not a computed statistic — safe to apply before train/test split, no leakage risk).</w:t>
      </w:r>
    </w:p>
    <w:p>
      <w:pPr>
        <w:pStyle w:val="Heading2"/>
        <w:spacing w:after="100" w:before="200"/>
      </w:pPr>
      <w:r>
        <w:t xml:space="preserve">2.4 Data type checks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Verified </w:t>
      </w:r>
      <w:r>
        <w:rPr>
          <w:rFonts w:ascii="Consolas" w:cs="Consolas" w:eastAsia="Consolas" w:hAnsi="Consolas"/>
          <w:sz w:val="20"/>
          <w:szCs w:val="20"/>
        </w:rPr>
        <w:t xml:space="preserve">SeniorCitizen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tenure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MonthlyCharges</w:t>
      </w:r>
      <w:r>
        <w:t xml:space="preserve"> had correct numeric types.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Encoded target: </w:t>
      </w:r>
      <w:r>
        <w:rPr>
          <w:rFonts w:ascii="Consolas" w:cs="Consolas" w:eastAsia="Consolas" w:hAnsi="Consolas"/>
          <w:sz w:val="20"/>
          <w:szCs w:val="20"/>
        </w:rPr>
        <w:t xml:space="preserve">Churn</w:t>
      </w:r>
      <w:r>
        <w:t xml:space="preserve"> mapped from Yes/No → 1/0.</w:t>
      </w:r>
    </w:p>
    <w:p>
      <w:pPr>
        <w:pStyle w:val="Heading1"/>
        <w:spacing w:after="150" w:before="300"/>
      </w:pPr>
      <w:r>
        <w:t xml:space="preserve">3. Exploratory Data Analysis (EDA)</w:t>
      </w:r>
    </w:p>
    <w:p>
      <w:pPr>
        <w:spacing w:after="120"/>
      </w:pPr>
      <w:r>
        <w:t xml:space="preserve">Visualizations created to understand relationships with churn: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Target class distribution (bar chart) — confirmed imbalance.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Numeric feature distributions (histograms of </w:t>
      </w:r>
      <w:r>
        <w:rPr>
          <w:rFonts w:ascii="Consolas" w:cs="Consolas" w:eastAsia="Consolas" w:hAnsi="Consolas"/>
          <w:sz w:val="20"/>
          <w:szCs w:val="20"/>
        </w:rPr>
        <w:t xml:space="preserve">tenure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MonthlyCharges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TotalCharges</w:t>
      </w:r>
      <w:r>
        <w:t xml:space="preserve">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Tenure distribution by churn (stacked histogram) — churners cluster at low tenure.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Contract type vs. churn (stacked bar) — month-to-month customers churn far more than long-term contracts.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Outlier check on numeric columns (boxplots) — no significant outliers found.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Correlation matrix and heatmap (numeric features) — checked multicollinearity between </w:t>
      </w:r>
      <w:r>
        <w:rPr>
          <w:rFonts w:ascii="Consolas" w:cs="Consolas" w:eastAsia="Consolas" w:hAnsi="Consolas"/>
          <w:sz w:val="20"/>
          <w:szCs w:val="20"/>
        </w:rPr>
        <w:t xml:space="preserve">tenure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MonthlyCharges</w:t>
      </w:r>
      <w:r>
        <w:t xml:space="preserve">, and </w:t>
      </w:r>
      <w:r>
        <w:rPr>
          <w:rFonts w:ascii="Consolas" w:cs="Consolas" w:eastAsia="Consolas" w:hAnsi="Consolas"/>
          <w:sz w:val="20"/>
          <w:szCs w:val="20"/>
        </w:rPr>
        <w:t xml:space="preserve">TotalCharges</w:t>
      </w:r>
      <w:r>
        <w:t xml:space="preserve"> (tenure–TotalCharges correlation ≈ 0.83).</w:t>
      </w:r>
    </w:p>
    <w:p>
      <w:pPr>
        <w:pStyle w:val="Heading1"/>
        <w:spacing w:after="150" w:before="300"/>
      </w:pPr>
      <w:r>
        <w:t xml:space="preserve">4. Train/Test Split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Performed before any statistic-dependent preprocessing (encoding stats, scaling, imbalance handling) to prevent data leakage.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train_test_split(X, y, test_size=0.2, random_state=42, stratify=y)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stratify=y</w:t>
      </w:r>
      <w:r>
        <w:t xml:space="preserve"> used to preserve the ~73.5%/26.5% class ratio in both sets.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Verified post-split class balance matched in both </w:t>
      </w:r>
      <w:r>
        <w:rPr>
          <w:rFonts w:ascii="Consolas" w:cs="Consolas" w:eastAsia="Consolas" w:hAnsi="Consolas"/>
          <w:sz w:val="20"/>
          <w:szCs w:val="20"/>
        </w:rPr>
        <w:t xml:space="preserve">y_train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y_test</w:t>
      </w:r>
      <w:r>
        <w:t xml:space="preserve">.</w:t>
      </w:r>
    </w:p>
    <w:p>
      <w:pPr>
        <w:pStyle w:val="Heading1"/>
        <w:spacing w:after="150" w:before="300"/>
      </w:pPr>
      <w:r>
        <w:t xml:space="preserve">5. Feature Encoding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Identified categorical (object-type) columns.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Applied one-hot encoding via </w:t>
      </w:r>
      <w:r>
        <w:rPr>
          <w:rFonts w:ascii="Consolas" w:cs="Consolas" w:eastAsia="Consolas" w:hAnsi="Consolas"/>
          <w:sz w:val="20"/>
          <w:szCs w:val="20"/>
        </w:rPr>
        <w:t xml:space="preserve">OneHotEncoder(drop='first', sparse_output=False, handle_unknown='ignore')</w:t>
      </w:r>
      <w:r>
        <w:t xml:space="preserve"> — fit on </w:t>
      </w:r>
      <w:r>
        <w:rPr>
          <w:rFonts w:ascii="Consolas" w:cs="Consolas" w:eastAsia="Consolas" w:hAnsi="Consolas"/>
          <w:sz w:val="20"/>
          <w:szCs w:val="20"/>
        </w:rPr>
        <w:t xml:space="preserve">X_train</w:t>
      </w:r>
      <w:r>
        <w:t xml:space="preserve">, then applied to </w:t>
      </w:r>
      <w:r>
        <w:rPr>
          <w:rFonts w:ascii="Consolas" w:cs="Consolas" w:eastAsia="Consolas" w:hAnsi="Consolas"/>
          <w:sz w:val="20"/>
          <w:szCs w:val="20"/>
        </w:rPr>
        <w:t xml:space="preserve">X_test</w:t>
      </w:r>
      <w:r>
        <w:t xml:space="preserve"> with </w:t>
      </w:r>
      <w:r>
        <w:rPr>
          <w:rFonts w:ascii="Consolas" w:cs="Consolas" w:eastAsia="Consolas" w:hAnsi="Consolas"/>
          <w:sz w:val="20"/>
          <w:szCs w:val="20"/>
        </w:rPr>
        <w:t xml:space="preserve">.transform()</w:t>
      </w:r>
      <w:r>
        <w:t xml:space="preserve"> only, to avoid leakage.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drop='first'</w:t>
      </w:r>
      <w:r>
        <w:t xml:space="preserve"> used to avoid the dummy variable trap (redundant, perfectly collinear columns).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handle_unknown='ignore'</w:t>
      </w:r>
      <w:r>
        <w:t xml:space="preserve"> used so the encoder safely handles any category value that appears in one split but not the other, without needing a manual column-alignment step.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Result: both </w:t>
      </w:r>
      <w:r>
        <w:rPr>
          <w:rFonts w:ascii="Consolas" w:cs="Consolas" w:eastAsia="Consolas" w:hAnsi="Consolas"/>
          <w:sz w:val="20"/>
          <w:szCs w:val="20"/>
        </w:rPr>
        <w:t xml:space="preserve">X_train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X_test</w:t>
      </w:r>
      <w:r>
        <w:t xml:space="preserve"> ended up with 30 columns.</w:t>
      </w:r>
    </w:p>
    <w:p>
      <w:pPr>
        <w:pStyle w:val="Heading1"/>
        <w:spacing w:after="150" w:before="300"/>
      </w:pPr>
      <w:r>
        <w:t xml:space="preserve">6. Feature Scaling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Applied </w:t>
      </w:r>
      <w:r>
        <w:rPr>
          <w:rFonts w:ascii="Consolas" w:cs="Consolas" w:eastAsia="Consolas" w:hAnsi="Consolas"/>
          <w:sz w:val="20"/>
          <w:szCs w:val="20"/>
        </w:rPr>
        <w:t xml:space="preserve">StandardScaler</w:t>
      </w:r>
      <w:r>
        <w:t xml:space="preserve"> to numeric columns (</w:t>
      </w:r>
      <w:r>
        <w:rPr>
          <w:rFonts w:ascii="Consolas" w:cs="Consolas" w:eastAsia="Consolas" w:hAnsi="Consolas"/>
          <w:sz w:val="20"/>
          <w:szCs w:val="20"/>
        </w:rPr>
        <w:t xml:space="preserve">tenure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MonthlyCharges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TotalCharges</w:t>
      </w:r>
      <w:r>
        <w:t xml:space="preserve">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Fit only on </w:t>
      </w:r>
      <w:r>
        <w:rPr>
          <w:rFonts w:ascii="Consolas" w:cs="Consolas" w:eastAsia="Consolas" w:hAnsi="Consolas"/>
          <w:sz w:val="20"/>
          <w:szCs w:val="20"/>
        </w:rPr>
        <w:t xml:space="preserve">X_train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fit_transform</w:t>
      </w:r>
      <w:r>
        <w:t xml:space="preserve">), applied to </w:t>
      </w:r>
      <w:r>
        <w:rPr>
          <w:rFonts w:ascii="Consolas" w:cs="Consolas" w:eastAsia="Consolas" w:hAnsi="Consolas"/>
          <w:sz w:val="20"/>
          <w:szCs w:val="20"/>
        </w:rPr>
        <w:t xml:space="preserve">X_test</w:t>
      </w:r>
      <w:r>
        <w:t xml:space="preserve"> via </w:t>
      </w:r>
      <w:r>
        <w:rPr>
          <w:rFonts w:ascii="Consolas" w:cs="Consolas" w:eastAsia="Consolas" w:hAnsi="Consolas"/>
          <w:sz w:val="20"/>
          <w:szCs w:val="20"/>
        </w:rPr>
        <w:t xml:space="preserve">transform</w:t>
      </w:r>
      <w:r>
        <w:t xml:space="preserve"> only — prevents leakage of test-set statistics.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Verified result: training set mean ≈ 0, std ≈ 1 after scaling.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Note: scaling primarily benefits distance/gradient-based models (Logistic Regression, SVM, KNN); tree-based models are scale-invariant.</w:t>
      </w:r>
    </w:p>
    <w:p>
      <w:pPr>
        <w:pStyle w:val="Heading1"/>
        <w:spacing w:after="150" w:before="300"/>
      </w:pPr>
      <w:r>
        <w:t xml:space="preserve">7. Handling Class Imbalance</w:t>
      </w:r>
    </w:p>
    <w:p>
      <w:pPr>
        <w:spacing w:after="120"/>
      </w:pPr>
      <w:r>
        <w:t xml:space="preserve">Two approaches considered and compared:</w:t>
      </w:r>
    </w:p>
    <w:p>
      <w:pPr>
        <w:pStyle w:val="Heading3"/>
        <w:spacing w:after="80" w:before="150"/>
      </w:pPr>
      <w:r>
        <w:t xml:space="preserve">Approach A — SMOTE (synthetic oversampling)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Considered, but noted limitations: interpolating one-hot encoded binary columns can produce meaningless fractional values; risk of unrealistic synthetic customer profiles.</w:t>
      </w:r>
    </w:p>
    <w:p>
      <w:pPr>
        <w:pStyle w:val="Heading3"/>
        <w:spacing w:after="80" w:before="150"/>
      </w:pPr>
      <w:r>
        <w:t xml:space="preserve">Approach B — class_weight='balanced' (chosen approach)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Applied at the model level rather than resampling data.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Adjusts the loss function to penalize misclassifying the minority class (churners) more heavily.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Used for models supporting it: Logistic Regression, SVC, Decision Tree, Random Forest, Extra Trees (sklearn </w:t>
      </w:r>
      <w:r>
        <w:rPr>
          <w:rFonts w:ascii="Consolas" w:cs="Consolas" w:eastAsia="Consolas" w:hAnsi="Consolas"/>
          <w:sz w:val="20"/>
          <w:szCs w:val="20"/>
        </w:rPr>
        <w:t xml:space="preserve">class_weight</w:t>
      </w:r>
      <w:r>
        <w:t xml:space="preserve">), XGBoost (</w:t>
      </w:r>
      <w:r>
        <w:rPr>
          <w:rFonts w:ascii="Consolas" w:cs="Consolas" w:eastAsia="Consolas" w:hAnsi="Consolas"/>
          <w:sz w:val="20"/>
          <w:szCs w:val="20"/>
        </w:rPr>
        <w:t xml:space="preserve">scale_pos_weight</w:t>
      </w:r>
      <w:r>
        <w:t xml:space="preserve">), CatBoost (</w:t>
      </w:r>
      <w:r>
        <w:rPr>
          <w:rFonts w:ascii="Consolas" w:cs="Consolas" w:eastAsia="Consolas" w:hAnsi="Consolas"/>
          <w:sz w:val="20"/>
          <w:szCs w:val="20"/>
        </w:rPr>
        <w:t xml:space="preserve">auto_class_weights='Balanced'</w:t>
      </w:r>
      <w:r>
        <w:t xml:space="preserve">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Not supported / left unweighted: KNN, Naive Bayes, AdaBoost, Gradient Boosting, Hist Gradient Boosting.</w:t>
      </w:r>
    </w:p>
    <w:p>
      <w:pPr>
        <w:pStyle w:val="Heading1"/>
        <w:spacing w:after="150" w:before="300"/>
      </w:pPr>
      <w:r>
        <w:t xml:space="preserve">8. Model Training &amp; Comparison</w:t>
      </w:r>
    </w:p>
    <w:p>
      <w:pPr>
        <w:spacing w:after="120"/>
      </w:pPr>
      <w:r>
        <w:t xml:space="preserve">Trained 12 classification models spanning multiple families: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Linear: Logistic Regression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Distance-based: KNN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Margin-based: SVC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Tree: Decision Tree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Probabilistic: Naive Bayes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Bagging: Random Forest, Extra Trees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Boosting: AdaBoost, Gradient Boosting, Hist Gradient Boosting, XGBoost, CatBoost</w:t>
      </w:r>
    </w:p>
    <w:p>
      <w:pPr>
        <w:spacing w:after="120"/>
      </w:pPr>
      <w:r>
        <w:t xml:space="preserve">Each model evaluated on: Accuracy, Precision, Recall, F1-Score, ROC-AUC.</w:t>
      </w:r>
    </w:p>
    <w:p>
      <w:pPr>
        <w:pStyle w:val="Heading2"/>
        <w:spacing w:after="100" w:before="200"/>
      </w:pPr>
      <w:r>
        <w:t xml:space="preserve">Round 1 — Unweighted (baseline)</w:t>
      </w:r>
    </w:p>
    <w:p>
      <w:pPr>
        <w:spacing w:after="120"/>
      </w:pPr>
      <w:r>
        <w:t xml:space="preserve">Best F1: Logistic Regression (F1 = 0.583). Recall was generally low (0.43–0.52) across most models due to class imbalance affecting default decision thresholds; Naive Bayes was the exception, with much higher recall (0.876) but lower precision.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6"/>
        <w:gridCol w:w="1666"/>
        <w:gridCol w:w="1666"/>
        <w:gridCol w:w="1666"/>
        <w:gridCol w:w="1667"/>
        <w:gridCol w:w="1667"/>
      </w:tblGrid>
      <w:tr>
        <w:trPr>
          <w:tblHeader/>
        </w:trPr>
        <w:tc>
          <w:tcPr>
            <w:tcW w:type="dxa" w:w="1666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666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  <w:tc>
          <w:tcPr>
            <w:tcW w:type="dxa" w:w="1666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Precision</w:t>
            </w:r>
          </w:p>
        </w:tc>
        <w:tc>
          <w:tcPr>
            <w:tcW w:type="dxa" w:w="1666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Recall</w:t>
            </w:r>
          </w:p>
        </w:tc>
        <w:tc>
          <w:tcPr>
            <w:tcW w:type="dxa" w:w="1666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F1-Score</w:t>
            </w:r>
          </w:p>
        </w:tc>
        <w:tc>
          <w:tcPr>
            <w:tcW w:type="dxa" w:w="1666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ROC-AUC</w:t>
            </w:r>
          </w:p>
        </w:tc>
      </w:tr>
      <w:tr>
        <w:trPr>
          <w:tblHeader w:val="false"/>
        </w:trPr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Logistic Regression</w:t>
            </w:r>
          </w:p>
        </w:tc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0.802</w:t>
            </w:r>
          </w:p>
        </w:tc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0.660</w:t>
            </w:r>
          </w:p>
        </w:tc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0.522</w:t>
            </w:r>
          </w:p>
        </w:tc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0.583</w:t>
            </w:r>
          </w:p>
        </w:tc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0.840</w:t>
            </w:r>
          </w:p>
        </w:tc>
      </w:tr>
      <w:tr>
        <w:trPr>
          <w:tblHeader w:val="false"/>
        </w:trPr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Naive Bayes</w:t>
            </w:r>
          </w:p>
        </w:tc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0.651</w:t>
            </w:r>
          </w:p>
        </w:tc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0.423</w:t>
            </w:r>
          </w:p>
        </w:tc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0.876</w:t>
            </w:r>
          </w:p>
        </w:tc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0.571</w:t>
            </w:r>
          </w:p>
        </w:tc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0.808</w:t>
            </w:r>
          </w:p>
        </w:tc>
      </w:tr>
      <w:tr>
        <w:trPr>
          <w:tblHeader w:val="false"/>
        </w:trPr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Gradient Boosting</w:t>
            </w:r>
          </w:p>
        </w:tc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0.801</w:t>
            </w:r>
          </w:p>
        </w:tc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0.665</w:t>
            </w:r>
          </w:p>
        </w:tc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0.497</w:t>
            </w:r>
          </w:p>
        </w:tc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0.569</w:t>
            </w:r>
          </w:p>
        </w:tc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0.837</w:t>
            </w:r>
          </w:p>
        </w:tc>
      </w:tr>
      <w:tr>
        <w:trPr>
          <w:tblHeader w:val="false"/>
        </w:trPr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CatBoost</w:t>
            </w:r>
          </w:p>
        </w:tc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0.795</w:t>
            </w:r>
          </w:p>
        </w:tc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0.647</w:t>
            </w:r>
          </w:p>
        </w:tc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0.497</w:t>
            </w:r>
          </w:p>
        </w:tc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0.562</w:t>
            </w:r>
          </w:p>
        </w:tc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0.839</w:t>
            </w:r>
          </w:p>
        </w:tc>
      </w:tr>
      <w:tr>
        <w:trPr>
          <w:tblHeader w:val="false"/>
        </w:trPr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AdaBoost</w:t>
            </w:r>
          </w:p>
        </w:tc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0.792</w:t>
            </w:r>
          </w:p>
        </w:tc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0.636</w:t>
            </w:r>
          </w:p>
        </w:tc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0.503</w:t>
            </w:r>
          </w:p>
        </w:tc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0.562</w:t>
            </w:r>
          </w:p>
        </w:tc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0.836</w:t>
            </w:r>
          </w:p>
        </w:tc>
      </w:tr>
      <w:tr>
        <w:trPr>
          <w:tblHeader w:val="false"/>
        </w:trPr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SVC</w:t>
            </w:r>
          </w:p>
        </w:tc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0.797</w:t>
            </w:r>
          </w:p>
        </w:tc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0.665</w:t>
            </w:r>
          </w:p>
        </w:tc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0.470</w:t>
            </w:r>
          </w:p>
        </w:tc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0.551</w:t>
            </w:r>
          </w:p>
        </w:tc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0.783</w:t>
            </w:r>
          </w:p>
        </w:tc>
      </w:tr>
      <w:tr>
        <w:trPr>
          <w:tblHeader w:val="false"/>
        </w:trPr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Hist Gradient Boosting</w:t>
            </w:r>
          </w:p>
        </w:tc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0.786</w:t>
            </w:r>
          </w:p>
        </w:tc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0.624</w:t>
            </w:r>
          </w:p>
        </w:tc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0.487</w:t>
            </w:r>
          </w:p>
        </w:tc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0.547</w:t>
            </w:r>
          </w:p>
        </w:tc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0.831</w:t>
            </w:r>
          </w:p>
        </w:tc>
      </w:tr>
      <w:tr>
        <w:trPr>
          <w:tblHeader w:val="false"/>
        </w:trPr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XGBoost</w:t>
            </w:r>
          </w:p>
        </w:tc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0.777</w:t>
            </w:r>
          </w:p>
        </w:tc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0.595</w:t>
            </w:r>
          </w:p>
        </w:tc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0.497</w:t>
            </w:r>
          </w:p>
        </w:tc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0.542</w:t>
            </w:r>
          </w:p>
        </w:tc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0.818</w:t>
            </w:r>
          </w:p>
        </w:tc>
      </w:tr>
      <w:tr>
        <w:trPr>
          <w:tblHeader w:val="false"/>
        </w:trPr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KNN</w:t>
            </w:r>
          </w:p>
        </w:tc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0.762</w:t>
            </w:r>
          </w:p>
        </w:tc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0.557</w:t>
            </w:r>
          </w:p>
        </w:tc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0.487</w:t>
            </w:r>
          </w:p>
        </w:tc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0.519</w:t>
            </w:r>
          </w:p>
        </w:tc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0.778</w:t>
            </w:r>
          </w:p>
        </w:tc>
      </w:tr>
      <w:tr>
        <w:trPr>
          <w:tblHeader w:val="false"/>
        </w:trPr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0.782</w:t>
            </w:r>
          </w:p>
        </w:tc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0.628</w:t>
            </w:r>
          </w:p>
        </w:tc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0.435</w:t>
            </w:r>
          </w:p>
        </w:tc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0.514</w:t>
            </w:r>
          </w:p>
        </w:tc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0.816</w:t>
            </w:r>
          </w:p>
        </w:tc>
      </w:tr>
      <w:tr>
        <w:trPr>
          <w:tblHeader w:val="false"/>
        </w:trPr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Extra Trees</w:t>
            </w:r>
          </w:p>
        </w:tc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0.766</w:t>
            </w:r>
          </w:p>
        </w:tc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0.578</w:t>
            </w:r>
          </w:p>
        </w:tc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0.430</w:t>
            </w:r>
          </w:p>
        </w:tc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0.493</w:t>
            </w:r>
          </w:p>
        </w:tc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0.786</w:t>
            </w:r>
          </w:p>
        </w:tc>
      </w:tr>
      <w:tr>
        <w:trPr>
          <w:tblHeader w:val="false"/>
        </w:trPr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Decision Tree</w:t>
            </w:r>
          </w:p>
        </w:tc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0.722</w:t>
            </w:r>
          </w:p>
        </w:tc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0.476</w:t>
            </w:r>
          </w:p>
        </w:tc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0.487</w:t>
            </w:r>
          </w:p>
        </w:tc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0.481</w:t>
            </w:r>
          </w:p>
        </w:tc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0.648</w:t>
            </w:r>
          </w:p>
        </w:tc>
      </w:tr>
    </w:tbl>
    <w:p>
      <w:pPr>
        <w:spacing w:before="200"/>
      </w:pPr>
    </w:p>
    <w:p>
      <w:pPr>
        <w:pStyle w:val="Heading2"/>
        <w:spacing w:after="100" w:before="200"/>
      </w:pPr>
      <w:r>
        <w:t xml:space="preserve">Round 2 — With class_weight='balanced'</w:t>
      </w:r>
    </w:p>
    <w:p>
      <w:pPr>
        <w:spacing w:after="120"/>
      </w:pPr>
      <w:r>
        <w:t xml:space="preserve">Recall improved substantially for Logistic Regression, SVC, CatBoost, and XGBoost (increases of roughly 15–26 percentage points).</w:t>
      </w:r>
    </w:p>
    <w:p>
      <w:pPr>
        <w:spacing w:after="120"/>
      </w:pPr>
      <w:r>
        <w:t xml:space="preserve">Negligible or slightly negative effect on bagging-based tree ensembles (Random Forest, Extra Trees) — likely because weighting affects impurity criteria at each split, an effect that gets diluted when averaging across many independently-built trees.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6"/>
        <w:gridCol w:w="1666"/>
        <w:gridCol w:w="1666"/>
        <w:gridCol w:w="1666"/>
        <w:gridCol w:w="1667"/>
        <w:gridCol w:w="1667"/>
      </w:tblGrid>
      <w:tr>
        <w:trPr>
          <w:tblHeader/>
        </w:trPr>
        <w:tc>
          <w:tcPr>
            <w:tcW w:type="dxa" w:w="1666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666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  <w:tc>
          <w:tcPr>
            <w:tcW w:type="dxa" w:w="1666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Precision</w:t>
            </w:r>
          </w:p>
        </w:tc>
        <w:tc>
          <w:tcPr>
            <w:tcW w:type="dxa" w:w="1666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Recall</w:t>
            </w:r>
          </w:p>
        </w:tc>
        <w:tc>
          <w:tcPr>
            <w:tcW w:type="dxa" w:w="1666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F1-Score</w:t>
            </w:r>
          </w:p>
        </w:tc>
        <w:tc>
          <w:tcPr>
            <w:tcW w:type="dxa" w:w="1666"/>
            <w:shd w:fill="2F549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ROC-AUC</w:t>
            </w:r>
          </w:p>
        </w:tc>
      </w:tr>
      <w:tr>
        <w:trPr>
          <w:tblHeader w:val="false"/>
        </w:trPr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CatBoost</w:t>
            </w:r>
          </w:p>
        </w:tc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0.774</w:t>
            </w:r>
          </w:p>
        </w:tc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0.555</w:t>
            </w:r>
          </w:p>
        </w:tc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0.747</w:t>
            </w:r>
          </w:p>
        </w:tc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0.637</w:t>
            </w:r>
          </w:p>
        </w:tc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0.840</w:t>
            </w:r>
          </w:p>
        </w:tc>
      </w:tr>
      <w:tr>
        <w:trPr>
          <w:tblHeader w:val="false"/>
        </w:trPr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SVC</w:t>
            </w:r>
          </w:p>
        </w:tc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0.755</w:t>
            </w:r>
          </w:p>
        </w:tc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0.525</w:t>
            </w:r>
          </w:p>
        </w:tc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0.780</w:t>
            </w:r>
          </w:p>
        </w:tc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0.628</w:t>
            </w:r>
          </w:p>
        </w:tc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0.826</w:t>
            </w:r>
          </w:p>
        </w:tc>
      </w:tr>
      <w:tr>
        <w:trPr>
          <w:tblHeader w:val="false"/>
        </w:trPr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Logistic Regression</w:t>
            </w:r>
          </w:p>
        </w:tc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0.741</w:t>
            </w:r>
          </w:p>
        </w:tc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0.507</w:t>
            </w:r>
          </w:p>
        </w:tc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0.780</w:t>
            </w:r>
          </w:p>
        </w:tc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0.614</w:t>
            </w:r>
          </w:p>
        </w:tc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0.840</w:t>
            </w:r>
          </w:p>
        </w:tc>
      </w:tr>
      <w:tr>
        <w:trPr>
          <w:tblHeader w:val="false"/>
        </w:trPr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XGBoost</w:t>
            </w:r>
          </w:p>
        </w:tc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0.758</w:t>
            </w:r>
          </w:p>
        </w:tc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0.536</w:t>
            </w:r>
          </w:p>
        </w:tc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0.634</w:t>
            </w:r>
          </w:p>
        </w:tc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0.581</w:t>
            </w:r>
          </w:p>
        </w:tc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0.818</w:t>
            </w:r>
          </w:p>
        </w:tc>
      </w:tr>
      <w:tr>
        <w:trPr>
          <w:tblHeader w:val="false"/>
        </w:trPr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Naive Bayes</w:t>
            </w:r>
          </w:p>
        </w:tc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0.651</w:t>
            </w:r>
          </w:p>
        </w:tc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0.423</w:t>
            </w:r>
          </w:p>
        </w:tc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0.876</w:t>
            </w:r>
          </w:p>
        </w:tc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0.571</w:t>
            </w:r>
          </w:p>
        </w:tc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0.808</w:t>
            </w:r>
          </w:p>
        </w:tc>
      </w:tr>
      <w:tr>
        <w:trPr>
          <w:tblHeader w:val="false"/>
        </w:trPr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Gradient Boosting</w:t>
            </w:r>
          </w:p>
        </w:tc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0.801</w:t>
            </w:r>
          </w:p>
        </w:tc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0.665</w:t>
            </w:r>
          </w:p>
        </w:tc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0.497</w:t>
            </w:r>
          </w:p>
        </w:tc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0.569</w:t>
            </w:r>
          </w:p>
        </w:tc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0.837</w:t>
            </w:r>
          </w:p>
        </w:tc>
      </w:tr>
      <w:tr>
        <w:trPr>
          <w:tblHeader w:val="false"/>
        </w:trPr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AdaBoost</w:t>
            </w:r>
          </w:p>
        </w:tc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0.792</w:t>
            </w:r>
          </w:p>
        </w:tc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0.636</w:t>
            </w:r>
          </w:p>
        </w:tc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0.503</w:t>
            </w:r>
          </w:p>
        </w:tc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0.562</w:t>
            </w:r>
          </w:p>
        </w:tc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0.836</w:t>
            </w:r>
          </w:p>
        </w:tc>
      </w:tr>
      <w:tr>
        <w:trPr>
          <w:tblHeader w:val="false"/>
        </w:trPr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Hist Gradient Boosting</w:t>
            </w:r>
          </w:p>
        </w:tc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0.786</w:t>
            </w:r>
          </w:p>
        </w:tc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0.624</w:t>
            </w:r>
          </w:p>
        </w:tc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0.487</w:t>
            </w:r>
          </w:p>
        </w:tc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0.547</w:t>
            </w:r>
          </w:p>
        </w:tc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0.831</w:t>
            </w:r>
          </w:p>
        </w:tc>
      </w:tr>
      <w:tr>
        <w:trPr>
          <w:tblHeader w:val="false"/>
        </w:trPr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KNN</w:t>
            </w:r>
          </w:p>
        </w:tc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0.762</w:t>
            </w:r>
          </w:p>
        </w:tc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0.557</w:t>
            </w:r>
          </w:p>
        </w:tc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0.487</w:t>
            </w:r>
          </w:p>
        </w:tc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0.519</w:t>
            </w:r>
          </w:p>
        </w:tc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0.778</w:t>
            </w:r>
          </w:p>
        </w:tc>
      </w:tr>
      <w:tr>
        <w:trPr>
          <w:tblHeader w:val="false"/>
        </w:trPr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0.774</w:t>
            </w:r>
          </w:p>
        </w:tc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0.602</w:t>
            </w:r>
          </w:p>
        </w:tc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0.430</w:t>
            </w:r>
          </w:p>
        </w:tc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0.502</w:t>
            </w:r>
          </w:p>
        </w:tc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0.812</w:t>
            </w:r>
          </w:p>
        </w:tc>
      </w:tr>
      <w:tr>
        <w:trPr>
          <w:tblHeader w:val="false"/>
        </w:trPr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Extra Trees</w:t>
            </w:r>
          </w:p>
        </w:tc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0.762</w:t>
            </w:r>
          </w:p>
        </w:tc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0.570</w:t>
            </w:r>
          </w:p>
        </w:tc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0.414</w:t>
            </w:r>
          </w:p>
        </w:tc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0.480</w:t>
            </w:r>
          </w:p>
        </w:tc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0.783</w:t>
            </w:r>
          </w:p>
        </w:tc>
      </w:tr>
      <w:tr>
        <w:trPr>
          <w:tblHeader w:val="false"/>
        </w:trPr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Decision Tree</w:t>
            </w:r>
          </w:p>
        </w:tc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0.725</w:t>
            </w:r>
          </w:p>
        </w:tc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0.479</w:t>
            </w:r>
          </w:p>
        </w:tc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0.465</w:t>
            </w:r>
          </w:p>
        </w:tc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0.472</w:t>
            </w:r>
          </w:p>
        </w:tc>
        <w:tc>
          <w:tcPr>
            <w:tcW w:type="dxa" w:w="166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0.642</w:t>
            </w:r>
          </w:p>
        </w:tc>
      </w:tr>
    </w:tbl>
    <w:p>
      <w:pPr>
        <w:spacing w:after="150" w:before="150"/>
      </w:pPr>
      <w:r>
        <w:rPr>
          <w:b/>
          <w:bCs/>
        </w:rPr>
        <w:t xml:space="preserve">Best overall model: CatBoost (balanced) — F1 = 0.637, Recall = 0.747, ROC-AUC = 0.840.</w:t>
      </w:r>
    </w:p>
    <w:p>
      <w:pPr>
        <w:pStyle w:val="Heading1"/>
        <w:spacing w:after="150" w:before="300"/>
      </w:pPr>
      <w:r>
        <w:t xml:space="preserve">9. Best Model — Further Analysis (CatBoost)</w:t>
      </w:r>
    </w:p>
    <w:p>
      <w:pPr>
        <w:pStyle w:val="Heading2"/>
        <w:spacing w:after="100" w:before="200"/>
      </w:pPr>
      <w:r>
        <w:t xml:space="preserve">9.1 Hyperparameter Tuning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GridSearchCV</w:t>
      </w:r>
      <w:r>
        <w:t xml:space="preserve"> over </w:t>
      </w:r>
      <w:r>
        <w:rPr>
          <w:rFonts w:ascii="Consolas" w:cs="Consolas" w:eastAsia="Consolas" w:hAnsi="Consolas"/>
          <w:sz w:val="20"/>
          <w:szCs w:val="20"/>
        </w:rPr>
        <w:t xml:space="preserve">depth</w:t>
      </w:r>
      <w:r>
        <w:t xml:space="preserve"> ([4, 6, 8]), </w:t>
      </w:r>
      <w:r>
        <w:rPr>
          <w:rFonts w:ascii="Consolas" w:cs="Consolas" w:eastAsia="Consolas" w:hAnsi="Consolas"/>
          <w:sz w:val="20"/>
          <w:szCs w:val="20"/>
        </w:rPr>
        <w:t xml:space="preserve">learning_rate</w:t>
      </w:r>
      <w:r>
        <w:t xml:space="preserve"> ([0.01, 0.05, 0.1]), </w:t>
      </w:r>
      <w:r>
        <w:rPr>
          <w:rFonts w:ascii="Consolas" w:cs="Consolas" w:eastAsia="Consolas" w:hAnsi="Consolas"/>
          <w:sz w:val="20"/>
          <w:szCs w:val="20"/>
        </w:rPr>
        <w:t xml:space="preserve">iterations</w:t>
      </w:r>
      <w:r>
        <w:t xml:space="preserve"> ([200, 500]), </w:t>
      </w:r>
      <w:r>
        <w:rPr>
          <w:rFonts w:ascii="Consolas" w:cs="Consolas" w:eastAsia="Consolas" w:hAnsi="Consolas"/>
          <w:sz w:val="20"/>
          <w:szCs w:val="20"/>
        </w:rPr>
        <w:t xml:space="preserve">l2_leaf_reg</w:t>
      </w:r>
      <w:r>
        <w:t xml:space="preserve"> ([1, 3, 5]), 5-fold CV, optimizing F1 (54 candidate combinations, 270 fits total).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Best parameters found: </w:t>
      </w:r>
      <w:r>
        <w:rPr>
          <w:rFonts w:ascii="Consolas" w:cs="Consolas" w:eastAsia="Consolas" w:hAnsi="Consolas"/>
          <w:sz w:val="20"/>
          <w:szCs w:val="20"/>
        </w:rPr>
        <w:t xml:space="preserve">depth=6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learning_rate=0.01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iterations=500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l2_leaf_reg=1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Best cross-validated F1 score: 0.634.</w:t>
      </w:r>
    </w:p>
    <w:p>
      <w:pPr>
        <w:pStyle w:val="Heading2"/>
        <w:spacing w:after="100" w:before="200"/>
      </w:pPr>
      <w:r>
        <w:t xml:space="preserve">9.2 Feature Selection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Method: Embedded method — used CatBoost's built-in feature importance (impurity/split-based reduction across boosted trees), not a separate wrapper/filter algorithm.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Ranked all features by importance; top predictors of churn were tenure, two-year contract, TotalCharges, fiber-optic internet service, and MonthlyCharges.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Compared performance using top-N features vs. full feature set to test whether a simpler model retains similar performance.</w:t>
      </w:r>
    </w:p>
    <w:p>
      <w:pPr>
        <w:pStyle w:val="Heading2"/>
        <w:spacing w:after="100" w:before="200"/>
      </w:pPr>
      <w:r>
        <w:t xml:space="preserve">9.3 Evaluation Metrics (final model)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ROC-AUC Curve — overall discrimination across thresholds (AUC ≈ 0.840).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Precision-Recall Curve — more informative than ROC under class imbalance.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Confusion Matrix — concrete breakdown of true/false positives and negatives.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Classification Report — per-class precision/recall/F1: churn class precision 0.53, recall 0.78, F1 0.63; overall accuracy 0.76 on the test set.</w:t>
      </w:r>
    </w:p>
    <w:p>
      <w:pPr>
        <w:pStyle w:val="Heading1"/>
        <w:spacing w:after="150" w:before="300"/>
      </w:pPr>
      <w:r>
        <w:t xml:space="preserve">10. Deployment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Serialized the final CatBoost model, the fitted </w:t>
      </w:r>
      <w:r>
        <w:rPr>
          <w:rFonts w:ascii="Consolas" w:cs="Consolas" w:eastAsia="Consolas" w:hAnsi="Consolas"/>
          <w:sz w:val="20"/>
          <w:szCs w:val="20"/>
        </w:rPr>
        <w:t xml:space="preserve">StandardScaler</w:t>
      </w:r>
      <w:r>
        <w:t xml:space="preserve">, and the training column structure to disk with </w:t>
      </w:r>
      <w:r>
        <w:rPr>
          <w:rFonts w:ascii="Consolas" w:cs="Consolas" w:eastAsia="Consolas" w:hAnsi="Consolas"/>
          <w:sz w:val="20"/>
          <w:szCs w:val="20"/>
        </w:rPr>
        <w:t xml:space="preserve">pickle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catboost_model.pkl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scaler.pkl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columns.pkl</w:t>
      </w:r>
      <w:r>
        <w:t xml:space="preserve">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Wrote a </w:t>
      </w:r>
      <w:r>
        <w:rPr>
          <w:rFonts w:ascii="Consolas" w:cs="Consolas" w:eastAsia="Consolas" w:hAnsi="Consolas"/>
          <w:sz w:val="20"/>
          <w:szCs w:val="20"/>
        </w:rPr>
        <w:t xml:space="preserve">predict_churn()</w:t>
      </w:r>
      <w:r>
        <w:t xml:space="preserve"> helper that takes a new customer record, one-hot encodes it, reindexes it to match the training columns (filling missing dummy columns with 0), scales the numeric columns, and returns a Yes/No churn prediction with its probability.</w:t>
      </w:r>
    </w:p>
    <w:p>
      <w:pPr>
        <w:pStyle w:val="Heading1"/>
        <w:spacing w:after="150" w:before="300"/>
      </w:pPr>
      <w:r>
        <w:t xml:space="preserve">11. Summary / Conclusion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Data cleaning addressed a hidden ID column, duplicate rows, and a logically-missing billing field.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Class imbalance was moderate (not extreme) and best addressed via class weighting rather than synthetic resampling, given the mix of categorical and numeric features.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Across 12 models, boosting methods (CatBoost, XGBoost) and linear/margin-based models (Logistic Regression, SVC) benefited most from class weighting.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Final recommended model: CatBoost with balanced class weights, offering the best trade-off between F1, recall, and ROC-AUC for identifying at-risk churn customers.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F5496" w:sz="8" w:space="4"/>
      </w:pBdr>
      <w:spacing w:after="150" w:before="300"/>
    </w:pPr>
    <w:rPr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b/>
      <w:bCs/>
      <w:color w:val="2F549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50"/>
    </w:pPr>
    <w:rPr>
      <w:b/>
      <w:bCs/>
      <w:i/>
      <w:iCs/>
      <w:color w:val="2F54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2026-08-04T16:37:13.879Z</dcterms:created>
  <dcterms:modified xsi:type="dcterms:W3CDTF">2026-08-04T16:37:13.879Z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