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af1"/>
          </w:pPr>
          <w:r>
            <w:t xml:space="preserve">Table of Contents</w:t>
          </w:r>
        </w:p>
        <w:p>
          <w:r>
            <w:fldChar w:fldCharType="begin" w:dirty="true"/>
            <w:instrText xml:space="preserve">TOC \o "1-2" \h \z \u</w:instrText>
            <w:fldChar w:fldCharType="separate"/>
            <w:fldChar w:fldCharType="end"/>
          </w:r>
        </w:p>
      </w:sdtContent>
    </w:sdt>
    <w:bookmarkStart w:id="49" w:name="転移と愛"/>
    <w:p>
      <w:pPr>
        <w:pStyle w:val="1"/>
      </w:pPr>
      <w:r>
        <w:rPr>
          <w:rFonts w:hint="eastAsia"/>
        </w:rPr>
        <w:t xml:space="preserve">転移と愛</w:t>
      </w:r>
    </w:p>
    <w:p>
      <w:pPr>
        <w:pStyle w:val="FirstParagraph"/>
      </w:pPr>
      <w:r>
        <w:rPr>
          <w:b/>
          <w:bCs/>
        </w:rPr>
        <w:t xml:space="preserve">L. イェケルス・E. ベルグラー</w:t>
      </w:r>
    </w:p>
    <w:bookmarkStart w:id="22" w:name="対象備給という奇跡"/>
    <w:p>
      <w:pPr>
        <w:pStyle w:val="2"/>
      </w:pPr>
      <w:r>
        <w:rPr>
          <w:rFonts w:hint="eastAsia"/>
        </w:rPr>
        <w:t xml:space="preserve">対象備給という奇跡</w:t>
      </w:r>
    </w:p>
    <w:p>
      <w:pPr>
        <w:pStyle w:val="FirstParagraph"/>
      </w:pPr>
      <w:r>
        <w:rPr>
          <w:rFonts w:hint="eastAsia"/>
        </w:rPr>
        <w:t xml:space="preserve">「ナルシシズム的リビドーあるいは自我的リビドーは、そこから対象備給</w:t>
      </w:r>
      <w:r>
        <w:rPr>
          <w:rFonts w:hint="eastAsia"/>
        </w:rPr>
        <w:t xml:space="preserve">が送り出され、再び引き込まれるような大きな貯蔵庫であるように思われる。自我のナルシシズム的リビドーの備給は、幼児期に実現した原初的な状態であり、後にリビドーが押し出されることによって隠蔽されているだけで、本質的にはそれらの背後にあって維持されている」</w:t>
      </w:r>
      <w:r>
        <w:rPr>
          <w:rStyle w:val="af"/>
        </w:rPr>
        <w:footnoteReference w:id="20"/>
      </w:r>
      <w:r>
        <w:t xml:space="preserve"> </w:t>
      </w:r>
    </w:p>
    <w:p>
      <w:pPr>
        <w:pStyle w:val="a2"/>
      </w:pPr>
      <w:r>
        <w:rPr>
          <w:rFonts w:hint="eastAsia"/>
        </w:rPr>
        <w:t xml:space="preserve">このフロイトの発言は、多くの疑問を投げかけている。自我が異質な自我のためにリビドーの一部を放棄することは、基本的な原因の究明を不要にするような当たり前のことではなく、むしろ緊急に説明を必要とする奇跡だ。自我はなぜこのような行動をとるのか？</w:t>
      </w:r>
      <w:r>
        <w:t xml:space="preserve">　</w:t>
      </w:r>
      <w:r>
        <w:rPr>
          <w:rFonts w:hint="eastAsia"/>
        </w:rPr>
        <w:t xml:space="preserve">その動機は何なのか？</w:t>
      </w:r>
      <w:r>
        <w:t xml:space="preserve">　</w:t>
      </w:r>
      <w:r>
        <w:rPr>
          <w:rFonts w:hint="eastAsia"/>
        </w:rPr>
        <w:t xml:space="preserve">このプロセスによって自我は利益を得ているのだろう——その可能性は非常に高いと思われる——が、もしそうだとして、そこにはどんな利益があるのか？</w:t>
      </w:r>
      <w:r>
        <w:t xml:space="preserve"> </w:t>
      </w:r>
    </w:p>
    <w:p>
      <w:pPr>
        <w:pStyle w:val="a2"/>
      </w:pPr>
      <w:r>
        <w:rPr>
          <w:rFonts w:hint="eastAsia"/>
        </w:rPr>
        <w:t xml:space="preserve">私たちの知る限り、精神分析の文献には、このパズルへの直接的な手がかりは一つしかない。フロイト</w:t>
      </w:r>
      <w:r>
        <w:rPr>
          <w:rStyle w:val="af"/>
        </w:rPr>
        <w:footnoteReference w:id="21"/>
      </w:r>
      <w:r>
        <w:rPr>
          <w:rFonts w:hint="eastAsia"/>
        </w:rPr>
        <w:t xml:space="preserve">は、自我が対象備給を用いるのは、自我におけるリビドーの堰き止めが強まり、それが不快なものとして経験されるのを回避するためであると述べている。この説明は一定の正しさを否定することはできない。しかし、私たちの目的は、それを超えて、通常、当たり前のように行われているこの対象備給の奇跡を説明しうる心理的動機を探ることにある。</w:t>
      </w:r>
      <w:r>
        <w:t xml:space="preserve"> </w:t>
      </w:r>
    </w:p>
    <w:bookmarkEnd w:id="22"/>
    <w:bookmarkStart w:id="25" w:name="愛されたいという願望"/>
    <w:p>
      <w:pPr>
        <w:pStyle w:val="2"/>
      </w:pPr>
      <w:r>
        <w:rPr>
          <w:rFonts w:hint="eastAsia"/>
        </w:rPr>
        <w:t xml:space="preserve">愛されたいという願望</w:t>
      </w:r>
    </w:p>
    <w:p>
      <w:pPr>
        <w:pStyle w:val="FirstParagraph"/>
      </w:pPr>
      <w:r>
        <w:rPr>
          <w:rFonts w:hint="eastAsia"/>
        </w:rPr>
        <w:t xml:space="preserve">ある40歳の既婚女性が分析家に告白した内容は、自分の道徳観と相反するものであり、彼女にとって非常に辛いものだった</w:t>
      </w:r>
      <w:r>
        <w:rPr>
          <w:rStyle w:val="af"/>
        </w:rPr>
        <w:footnoteReference w:id="23"/>
      </w:r>
      <w:r>
        <w:rPr>
          <w:rFonts w:hint="eastAsia"/>
        </w:rPr>
        <w:t xml:space="preserve">。次のセッションで、彼女は嗚咽の合間に医師に言った。「昨日の夕方、私はあなたに捨てられたような気がしました。もうあなたがいない、どこにいるのかわからない、あなたにとって私は十分でない、と感じたのです」。どの分析家も似たような例をたくさん挙げることができる。この患者の反応から、彼女の恐怖の本質が、超自我を代表する分析家に見捨てられるかもしれないということであることは疑いようがない。この超自我から切り離されることへの恐怖は、精神分析では、愛の喪失の危機への恐怖と解釈するのが正しい。分析家とのナルシシズム的同一視</w:t>
      </w:r>
      <w:r>
        <w:rPr>
          <w:rStyle w:val="af"/>
        </w:rPr>
        <w:footnoteReference w:id="24"/>
      </w:r>
      <w:r>
        <w:rPr>
          <w:rFonts w:hint="eastAsia"/>
        </w:rPr>
        <w:t xml:space="preserve">も、愛の喪失への恐怖を防ぐ役割を果たしていることは間違いない。患者が医師の見解を出典をまったく覚えずにほとんどそのまま繰り返す頻度から、この無意識の分析における盗用、つまり同一化は、不安に対する防衛、つまり愛されたいという願望と見なされ、定式化されるだろう。「私はあなたに似ている、あなたが自分を愛しているのだから、あなたも私を愛してくれるに違いない」。このように愛が失われることへの不安のほかに、この不安はほとんど常に空間における分離の観念によって明確に表現されていることにも注目しなければならない。このことを立証するために、これ以上精密な観察はほとんど必要ない。</w:t>
      </w:r>
      <w:r>
        <w:t xml:space="preserve"> </w:t>
      </w:r>
    </w:p>
    <w:p>
      <w:pPr>
        <w:pStyle w:val="a2"/>
      </w:pPr>
      <w:r>
        <w:rPr>
          <w:rFonts w:hint="eastAsia"/>
        </w:rPr>
        <w:t xml:space="preserve">フロイトは「不安の問題」</w:t>
      </w:r>
      <w:r>
        <w:rPr>
          <w:rFonts w:hint="eastAsia"/>
        </w:rPr>
        <w:t xml:space="preserve">の中で、不安は喪失、分離に対する反応であると述べているので、この状態はいっそう注目されるべきであろう。フロイトによれば、幼児、それも幼い子供の不安は、その唯一の条件として、対象の欠落または喪失を有している。憧れが向けられ、その不在が不安を引き起こすこの対象は、一般的な意見によれば、最愛で憧れの母親、またはその代用品である。子供は経済的な理由で、必要性から生じる緊張の増大の結果として、これを経験すると考えられている。この説明は、外部から認識される対象が存在することで、その状況に潜む危険が解消されるという事実に基づいている。</w:t>
      </w:r>
      <w:r>
        <w:t xml:space="preserve"> </w:t>
      </w:r>
    </w:p>
    <w:p>
      <w:pPr>
        <w:pStyle w:val="a2"/>
      </w:pPr>
      <w:r>
        <w:rPr>
          <w:rFonts w:hint="eastAsia"/>
        </w:rPr>
        <w:t xml:space="preserve">この要約は、心理的経験を詳細に分析するための枠組みを提供し、その微細な観察を通じて、最も初期の頃の対象との関係を理解することを期待している。不安の表現としての空間的分離は、母親との対象－リビドー的関係をはるかに超えて、基本的にはナルシシズム的統一に対する脅威の感覚に基づいているというのが、私たちの結論である。このことを裏付けるものとして、罪悪感や不安の感情は、超自我によって愛されていないことがその源であり、それは愛されていないことへの恐怖だという事実がある。このことは私たちを直接的に愛の問題へと導いてくれる。しかし、この現象を心理学的に完全に解明するためには、まず超自我の構造と機能を考察することが不可欠である。</w:t>
      </w:r>
      <w:r>
        <w:t xml:space="preserve"> </w:t>
      </w:r>
    </w:p>
    <w:bookmarkEnd w:id="25"/>
    <w:bookmarkStart w:id="33" w:name="超自我の発達"/>
    <w:p>
      <w:pPr>
        <w:pStyle w:val="2"/>
      </w:pPr>
      <w:r>
        <w:rPr>
          <w:rFonts w:hint="eastAsia"/>
        </w:rPr>
        <w:t xml:space="preserve">超自我の発達</w:t>
      </w:r>
    </w:p>
    <w:p>
      <w:pPr>
        <w:pStyle w:val="FirstParagraph"/>
      </w:pPr>
      <w:r>
        <w:rPr>
          <w:rFonts w:hint="eastAsia"/>
        </w:rPr>
        <w:t xml:space="preserve">超自我の概念が定式化されて以来受けた変更は、明らかにフロイトの本能心理学の発展を反映している。この「自我の段階」は、リビドーだけが認識され、自我の本能は何ら実証されていないと思われた時代に発見された。この自我の分化は、当時、自我理想〔ego</w:t>
      </w:r>
      <w:r>
        <w:t xml:space="preserve"> </w:t>
      </w:r>
      <w:r>
        <w:rPr>
          <w:rFonts w:hint="eastAsia"/>
        </w:rPr>
        <w:t xml:space="preserve">ideal〕と呼ばれていた。「人間は、幼年期のナルシシズム的な完全性を放棄したくないし、それを保持できなくなると、自我理想という新しい形でそれを取り戻そうとする」</w:t>
      </w:r>
      <w:r>
        <w:rPr>
          <w:rStyle w:val="af"/>
        </w:rPr>
        <w:footnoteReference w:id="26"/>
      </w:r>
      <w:r>
        <w:rPr>
          <w:rFonts w:hint="eastAsia"/>
        </w:rPr>
        <w:t xml:space="preserve">とされ、七年後には、「（…）自我が従うべきすべての制限の集合」</w:t>
      </w:r>
      <w:r>
        <w:rPr>
          <w:rStyle w:val="af"/>
        </w:rPr>
        <w:footnoteReference w:id="27"/>
      </w:r>
      <w:r>
        <w:rPr>
          <w:rFonts w:hint="eastAsia"/>
        </w:rPr>
        <w:t xml:space="preserve">として構想された。この本能の二元論がエロスとタナトスのアンチテーゼに置き換えられ、一般に攻撃性の重要性がますます考慮されるようになると、現在「超自我」と呼ばれている制度の内容と性格についての考え方も後者に有利になり、現在の排他性の程度に達するまで変化していった。「超自我は、両親の厳しさと厳格さ、予防と懲罰の機能だけを選択し、両親の愛情深いケアは超自我に取り入れられず、継続されないという、一方的な選択をしたようである」</w:t>
      </w:r>
      <w:r>
        <w:rPr>
          <w:rStyle w:val="af"/>
        </w:rPr>
        <w:footnoteReference w:id="28"/>
      </w:r>
      <w:r>
        <w:rPr>
          <w:rFonts w:hint="eastAsia"/>
        </w:rPr>
        <w:t xml:space="preserve">。しかし、この超自我は、かつての自我理想の性格と機能も保持していた。「それはまた、自我理想の乗り物であり、それによって自我は自分を測り、それに向かって努力し、絶えず増大する完璧さの要求を満たすために努力している。この自我理想は、間違いなく両親の古い観念の沈殿物であり、その当時、子供が両親に帰属していた完璧さに対して感じていた賞賛の表現なのだ」</w:t>
      </w:r>
      <w:r>
        <w:rPr>
          <w:rStyle w:val="af"/>
        </w:rPr>
        <w:footnoteReference w:id="29"/>
      </w:r>
      <w:r>
        <w:t xml:space="preserve">。</w:t>
      </w:r>
      <w:r>
        <w:t xml:space="preserve"> </w:t>
      </w:r>
    </w:p>
    <w:p>
      <w:pPr>
        <w:pStyle w:val="a2"/>
      </w:pPr>
      <w:r>
        <w:rPr>
          <w:rFonts w:hint="eastAsia"/>
        </w:rPr>
        <w:t xml:space="preserve">このような明確な記述にもかかわらず、文献を調査するとかなりの混乱が存在することがわかる。たとえば、ナンバーグはこう述べている。「さらに、自我理想は自我の中の愛する対象の複製であり、超自我は憎しみや恐れの対象のイメージであるはずなのに、どうしてこの二つの概念が混同され、同じように使われたのだろうか」</w:t>
      </w:r>
      <w:r>
        <w:rPr>
          <w:rStyle w:val="af"/>
        </w:rPr>
        <w:footnoteReference w:id="30"/>
      </w:r>
      <w:r>
        <w:t xml:space="preserve">。</w:t>
      </w:r>
      <w:r>
        <w:t xml:space="preserve"> </w:t>
      </w:r>
    </w:p>
    <w:p>
      <w:pPr>
        <w:pStyle w:val="a2"/>
      </w:pPr>
      <w:r>
        <w:rPr>
          <w:rFonts w:hint="eastAsia"/>
        </w:rPr>
        <w:t xml:space="preserve">ここで用いるエロスとタナトスの闘争という概念によって、フロイトの超自我観は、とくに超自我と自我理想の関係において、細部を正確に理解することによって、より明確でシャープなものになると私たちは考えている。</w:t>
      </w:r>
      <w:r>
        <w:t xml:space="preserve"> </w:t>
      </w:r>
    </w:p>
    <w:p>
      <w:pPr>
        <w:pStyle w:val="a2"/>
      </w:pPr>
      <w:r>
        <w:rPr>
          <w:rFonts w:hint="eastAsia"/>
        </w:rPr>
        <w:t xml:space="preserve">私たちは、自我理想を、二つの国の間に横たわる「中立地帯」だと考えている。さらに、戦争では近隣の交戦国が中立地帯を占領しようとあらゆる努力をするように、ここでも自我理想の所有が、エロスとタナトスという二大敵対者のシーソー戦の真の目的・目標であると考える。このような自我理想の中立的性格の概念は、いくつかの予備段階を経て、非常に緩やかに発展してきたと私たちは考えている。この発達のどの状態においても、この二つの基本的な衝動が働いていることがわかる。</w:t>
      </w:r>
      <w:r>
        <w:t xml:space="preserve"> </w:t>
      </w:r>
    </w:p>
    <w:p>
      <w:pPr>
        <w:pStyle w:val="a2"/>
      </w:pPr>
      <w:r>
        <w:rPr>
          <w:rFonts w:hint="eastAsia"/>
        </w:rPr>
        <w:t xml:space="preserve">そしてこの観点から、非常に図式的に、自我理想の発達の二つの根源について話すことができる。その根源の一つは、自我に向けられた死の本能の攻撃性を対象に向け直そうとする自我の試みであり、それによって対象は恐れるべきものになる。このようにして、内的なものと投影された外的な危険との交換が試みられるが、これは失敗に終わる。この破壊本能の完遂は、これらの恐ろしい対象をエロスによって自我に取り入れることで回避され、そこで対象は自分自身のナルシシズムの対象となるのである。</w:t>
      </w:r>
      <w:r>
        <w:t xml:space="preserve"> </w:t>
      </w:r>
    </w:p>
    <w:p>
      <w:pPr>
        <w:pStyle w:val="a2"/>
      </w:pPr>
      <w:r>
        <w:rPr>
          <w:rFonts w:hint="eastAsia"/>
        </w:rPr>
        <w:t xml:space="preserve">次のようなプロセスが第二の根源と考えられる。子どもの全能感は、空腹、離乳、トイレのしつけといった外的現実の要求によって損なわれる。全能感を回復させようとする試みが何度も失敗した後、子どもは全能感を放棄するか、妥協と引き換えに全能感を維持するかという選択肢に直面する。このような妥協についてフロイトは次のように述べている。「私たちは、その人が（…）自分の中に理想を設定したと言うことができる（…）この理想自我〔ideal</w:t>
      </w:r>
      <w:r>
        <w:t xml:space="preserve"> </w:t>
      </w:r>
      <w:r>
        <w:rPr>
          <w:rFonts w:hint="eastAsia"/>
        </w:rPr>
        <w:t xml:space="preserve">ego〕に、本当の自我が子供時代に享受した自己愛が向けられる。ナルシシズムは今、この新しい理想自我に移行しているようであり、それは幼年期の自我と同様に、自らをすべての完全性の所有者とみなしているのである。性欲が関係するところではいつもそうだが、ここでも人間は一度享受した満足を手放すことができないことを示している。そして、成長するにつれて、他人の諫言に心を乱され、自分の批判的判断が目覚めれば、こうして奪われた初期の完全性を、自我理想〔ego</w:t>
      </w:r>
      <w:r>
        <w:t xml:space="preserve"> </w:t>
      </w:r>
      <w:r>
        <w:rPr>
          <w:rFonts w:hint="eastAsia"/>
        </w:rPr>
        <w:t xml:space="preserve">ideal〕という新しい形で取り戻そうとするのである」</w:t>
      </w:r>
      <w:r>
        <w:rPr>
          <w:rStyle w:val="af"/>
        </w:rPr>
        <w:footnoteReference w:id="31"/>
      </w:r>
      <w:r>
        <w:t xml:space="preserve">。</w:t>
      </w:r>
      <w:r>
        <w:t xml:space="preserve"> </w:t>
      </w:r>
    </w:p>
    <w:p>
      <w:pPr>
        <w:pStyle w:val="a2"/>
      </w:pPr>
      <w:r>
        <w:rPr>
          <w:rFonts w:hint="eastAsia"/>
        </w:rPr>
        <w:t xml:space="preserve">しかし、脱性化〔desexualization〕があらゆる同一化と並行して進行することを私たちは知っている。タナトスの達成である脱性化は、これまで精神分析ではあまり触れられてこなかったテーマである。というのも、脱性化にはより包括的な意味があり、昇華は脱性化の特殊なケースだからである。後者〔昇華〕は、リビドーに影のように付きまとう継続的なプロセスであり、その発達のすべての段階で活動するプロセスだと私たちは考えている。破壊本能の影響により、自我は前性器段階</w:t>
      </w:r>
      <w:r>
        <w:rPr>
          <w:rFonts w:hint="eastAsia"/>
        </w:rPr>
        <w:t xml:space="preserve">のなかで、口腔、肛門、尿道の機能を性的両性具有〔アンフィミクシス〕から守り、純粋な自我の機能——消化、腸、尿の排泄へと変えようとする。しかし、ここでも部分的な成功だけが成し遂げられ、自我は男根－生殖器段階で完全に否定される。このことは、生殖器が自我の機能を持たず、性的な機能にのみ奉仕していることを考えれば、理解できる。したがって、脱性化——それが起こる潜伏期間によって証明される——は、性性〔セクシュアリティ〕の完全な消滅に等しく、風呂の水と一緒に赤ん坊を捨てることを意味するのである。</w:t>
      </w:r>
      <w:r>
        <w:t xml:space="preserve"> </w:t>
      </w:r>
    </w:p>
    <w:p>
      <w:pPr>
        <w:pStyle w:val="a2"/>
      </w:pPr>
      <w:r>
        <w:rPr>
          <w:rFonts w:hint="eastAsia"/>
        </w:rPr>
        <w:t xml:space="preserve">神経症が逆の結果、すなわち自我の機能の性化〔sexualization〕をもたらすことはよく知られている。しかし、男根－性器段階に関する限り、性化は、通常、潜伏期間の終了後に起こり、神経症の過程（インポテンス、不感症）によって再び脱性化にさらされることになる。自我の脱性化の試みは、エディプス・コンプレックスが解消された後でのみ、完全な成功の栄冠を得る。なぜなら、ここでの脱性化は、性器に特有で、性にのみ奉仕する器官に関係するからである。また、おそらく、あまりにも多くの失敗した試みの後、時折、性欲を直接満たすための試みに諦めが生じることがある。これまでの説明、特に自我理想の発達史、同一化の過程からの派生、それに伴う脱性化に関する説明はすべて、自我理想を中立地帯とする概念を支持するのに役立つものである。私たちは、この声明と、それを証明するために提示された議論によって、私たちの見解により一般的で深い意味を与える、フロイトが述べた問題の一つに非常に近づいたと信じている。私たちは、『自我とエス』の中で、例えば、迫害妄想の場合のように愛が憎しみに（対象の行動とは無関係に）直接変化することについて、また、愛が敵対的な対抗心によって先行している同性愛のいくつかのケースでは、憎しみが愛に変わることについての仮説的な説明が与えられている、多くの議論がありさまざまにコメントされている一節に言及してみよう〔cf.</w:t>
      </w:r>
      <w:r>
        <w:t xml:space="preserve"> </w:t>
      </w:r>
      <w:r>
        <w:rPr>
          <w:rFonts w:hint="eastAsia"/>
        </w:rPr>
        <w:t xml:space="preserve">「自我とエス」『自我論集』248頁以下、ちくま学芸文庫〕。このような直接的な感情の変化は、「相反する生理学的プロセス」の仮定に基づいているため、二種類の衝動の区別は非常に疑わしいか不可能であるとフロイトは考えている。しかし、二種類の衝動を仮定することと矛盾しない、情動の反対への変換というこの現象を説明する別の可能性もある。</w:t>
      </w:r>
      <w:r>
        <w:t xml:space="preserve"> </w:t>
      </w:r>
    </w:p>
    <w:p>
      <w:pPr>
        <w:pStyle w:val="a2"/>
      </w:pPr>
      <w:r>
        <w:rPr>
          <w:rFonts w:hint="eastAsia"/>
        </w:rPr>
        <w:t xml:space="preserve">もし、〔憎しみから愛への〕この感情の変化が、単に、より有利な排出の可能性という経済的動機に基づくものであれば、これは概念となるだろう。もちろん、フロイトは次のように続ける。「私たちは、心の中に、自我であれエスであれ、それ自体は中立だが、エロス的な衝動や破壊的な衝動と手を結び、質的に異なるが、その全体的な備給を増大させることができる、置き換え可能なエネルギーが存在するものとして考えてきたのだ。この種の置き換え可能なエネルギーが存在することを前提としなければ、何も前進することはできない。唯一の問題は、それがどこから来て、何に属し、何を意味するのかということである」</w:t>
      </w:r>
      <w:r>
        <w:rPr>
          <w:rStyle w:val="af"/>
        </w:rPr>
        <w:footnoteReference w:id="32"/>
      </w:r>
      <w:r>
        <w:t xml:space="preserve">。</w:t>
      </w:r>
      <w:r>
        <w:t xml:space="preserve"> </w:t>
      </w:r>
    </w:p>
    <w:p>
      <w:pPr>
        <w:pStyle w:val="a2"/>
      </w:pPr>
      <w:r>
        <w:rPr>
          <w:rFonts w:hint="eastAsia"/>
        </w:rPr>
        <w:t xml:space="preserve">私たちは、結論に基づいて、自我理想をフロイトが仮定した置き換え可能な中性的エネルギーとして参照することで、フロイトの仮説を強化し、さらに証明することが可能であると考えている。なぜなら、自我理想は、フロイトがその中立的なエネルギーに想定している特徴を持っているからだ。自我理想は、リビドーのナルシシズム的な蓄えに由来する、脱性的なエロスである。</w:t>
      </w:r>
      <w:r>
        <w:t xml:space="preserve"> </w:t>
      </w:r>
    </w:p>
    <w:p>
      <w:pPr>
        <w:pStyle w:val="a2"/>
      </w:pPr>
      <w:r>
        <w:rPr>
          <w:rFonts w:hint="eastAsia"/>
        </w:rPr>
        <w:t xml:space="preserve">しかし、ここで明らかな矛盾が生じる。ナルシシズムとエネルギーの中性的な状態とを結びつけるのは容易ではないからだ。この矛盾は、エロスがここで脱性化を遂げたことを想起すると、その〔矛盾という〕意味を大きく失う。〔エロスは〕その影が残っているに過ぎないからだ。脱性化は実際にはタナトスの仕事であるから、死の本能の色合いがあると言えるだろう。さらに、エロスの介入によってこの恐怖が大きく修正されるまで、取り入れられた〔introjected〕人物は恐ろしかったのである。全体として、自我理想は、均質でない、したがって非常に不完全な制度であり、二つの不均等な物質のかろうじて成功した合金——極めて抵抗力の強いほとんど無敵の根源的ナルシシズムと、同じ抵抗力を持つとはほとんど言えない取り入れられた人物のイメージの合金——として自我を提示する。</w:t>
      </w:r>
      <w:r>
        <w:t xml:space="preserve"> </w:t>
      </w:r>
    </w:p>
    <w:p>
      <w:pPr>
        <w:pStyle w:val="a2"/>
      </w:pPr>
      <w:r>
        <w:rPr>
          <w:rFonts w:hint="eastAsia"/>
        </w:rPr>
        <w:t xml:space="preserve">自我理想のこの性質からすれば、二つの本能がこのエネルギーを手に入れることに何の困難も感じないのも不思議ではない。このエネルギーは、こうして一方と他方が交互に獲物となり、その瞬間の勝者の色、つまり黒と赤を身にまとうのである。ホメロスの英雄たちが血を飲んだ後、黄泉の国で新しい生命に目覚めるように、この影、つまり脱性化したエロスは、二つの衝動のうちの一つのエネルギー〔＝エロス〕を注入されることによって蘇生することができるのである。</w:t>
      </w:r>
      <w:r>
        <w:t xml:space="preserve"> </w:t>
      </w:r>
    </w:p>
    <w:bookmarkEnd w:id="33"/>
    <w:bookmarkStart w:id="38" w:name="愛と罪悪感"/>
    <w:p>
      <w:pPr>
        <w:pStyle w:val="2"/>
      </w:pPr>
      <w:r>
        <w:rPr>
          <w:rFonts w:hint="eastAsia"/>
        </w:rPr>
        <w:t xml:space="preserve">愛と罪悪感</w:t>
      </w:r>
    </w:p>
    <w:p>
      <w:pPr>
        <w:pStyle w:val="FirstParagraph"/>
      </w:pPr>
      <w:r>
        <w:rPr>
          <w:rFonts w:hint="eastAsia"/>
        </w:rPr>
        <w:t xml:space="preserve">古来、この主題に関する研究は数多くなされてきたが、愛の心理学の解明にはほとんど進展がなかった。ショーペンハウアーは『愛と罪悪の形而上学』の中で、「人間の生活においてこれほど重要な役割を果たすものが、哲学者によってほとんど考慮されず、今日でも未調査のテーマであることに驚かなければならない」と書いている。プラトンは、特に『饗宴』と『パイドロス』の中でこのテーマをある程度まで扱った唯一の人であったろうが、彼が語ったことは神話、寓話、冗談の分野にとどまり、ほとんどがギリシャ人の少年愛に関係しているだけであった。ルソーが『人間不平等起源論』の中でこのテーマについて述べていることは、不正確で不十分なものである。カントの『美と崇高の感情に関する観察』の第三部におけるこの主題の議論は、非常に表面的で、この主題に関する知識がなく、したがってまた部分的に正しくない。</w:t>
      </w:r>
      <w:r>
        <w:t xml:space="preserve"> </w:t>
      </w:r>
    </w:p>
    <w:p>
      <w:pPr>
        <w:pStyle w:val="a2"/>
      </w:pPr>
      <w:r>
        <w:rPr>
          <w:rFonts w:hint="eastAsia"/>
        </w:rPr>
        <w:t xml:space="preserve">精神分析家ではない現代作家のローゼンタールは、『愛、その本質と価値』という本の中で、「部分的に水面下に深く流れ、性的愛の始まりから現代の観念論に至るまで、その発展を決定してきた精神的流れを発見し説明することは（…）困難かつこれまで解決されていない仕事である」と述べている。</w:t>
      </w:r>
      <w:r>
        <w:t xml:space="preserve"> </w:t>
      </w:r>
    </w:p>
    <w:p>
      <w:pPr>
        <w:pStyle w:val="a2"/>
      </w:pPr>
      <w:r>
        <w:rPr>
          <w:rFonts w:hint="eastAsia"/>
        </w:rPr>
        <w:t xml:space="preserve">精神分析では、愛の心理学について最も広範囲で、最も包括的な照明を与えてくれたフロイトに再び恩義を感じている。本能とその変動に関する彼の論文から、先天性リビドーによって運ばれる対象への自我の関係は、せいぜい愛の予備段階と見なすことができる程度であることがわかる。これは口唇段階の対象との関係だけでなく、特に憎しみと区別しにくい肛門－サディズム的な関係についても言えることである。自我全体と対象との関係が、すでに発達したリビドーの性器組織に由来する場合にのみ、愛を語ることができる。この対象への関係は生殖器組織から切り離すことができず、それによって条件づけられ、憎しみのアンチテーゼとして形成される。</w:t>
      </w:r>
      <w:r>
        <w:t xml:space="preserve"> </w:t>
      </w:r>
    </w:p>
    <w:p>
      <w:pPr>
        <w:pStyle w:val="a2"/>
      </w:pPr>
      <w:r>
        <w:rPr>
          <w:rFonts w:hint="eastAsia"/>
        </w:rPr>
        <w:t xml:space="preserve">これらは精神分析の公理として受け入れられているが、これらの定式化がなされたとき、フロイトはまだ彼の最も偉大な概念のうちの二つを開発していなかった。「エロス」と「タナトス」という、心を支配する二つの力、および人格の形而上学的な構造である。</w:t>
      </w:r>
      <w:r>
        <w:t xml:space="preserve"> </w:t>
      </w:r>
    </w:p>
    <w:p>
      <w:pPr>
        <w:pStyle w:val="a2"/>
      </w:pPr>
      <w:r>
        <w:rPr>
          <w:rFonts w:hint="eastAsia"/>
        </w:rPr>
        <w:t xml:space="preserve">〔前節の〕超自我についての議論ではこの二つの原始的な本能の間の闘争をスケッチしたが、愛もまたこの闘争の表現であると考える。ここでも問題は、ダイモンの拷問道具である自我理想を取り去り、自我理想の中立的エネルギーにエロス的な努力を加えることによって、ダイモンを無力にすることである。このことは、愛がしばしば躁病の高揚した気分に驚くほど似ていることや、この二つの心理的関係が疑いないことを説明するものである。違いは、ダイモンの武装を解除する別の方法を用いることである。躁病の場合、ダイモンは攻撃によって解除されるが、愛の場合は自我理想を対象に投影することによって解除される。これは、自我と自我理想の間に緊張がない理想的な状態である。しかし、私たちは、愛の探求には、自我と自我理想との間にある程度の緊張があることが前提だと考えている。自我にとっての愛は、自我と自我理想の間の耐え難い緊張が存在しないことを証明するものであり、したがって愛は、躁病とは対照的に、成功する否定の試みである。自明なことだが、正常な状態ではこの種の緊張が存在しないので、この否定のメカニズムは不要である。</w:t>
      </w:r>
      <w:r>
        <w:t xml:space="preserve"> </w:t>
      </w:r>
    </w:p>
    <w:p>
      <w:pPr>
        <w:pStyle w:val="a2"/>
      </w:pPr>
      <w:r>
        <w:rPr>
          <w:rFonts w:hint="eastAsia"/>
        </w:rPr>
        <w:t xml:space="preserve">自分の自我理想に愛されているという証明によって与えられる大きなナルシシズム的満足に加えて、ダイモンの武装解除もまた、愛の躁的エクスタシーの源である。</w:t>
      </w:r>
      <w:r>
        <w:t xml:space="preserve"> </w:t>
      </w:r>
    </w:p>
    <w:p>
      <w:pPr>
        <w:pStyle w:val="a2"/>
      </w:pPr>
      <w:r>
        <w:rPr>
          <w:rFonts w:hint="eastAsia"/>
        </w:rPr>
        <w:t xml:space="preserve">ダイモンの圧力を受けて自我理想を対象に投影することは、自我理想を更新する傾向から生じるものである。その傾向は、古い自我理想がダイモンの攻撃に対して十分に有効でないことが明らかになり、その投影が不十分だと感じられたという内的心理に由来する。この投影（「リビドーによる対象の備給」）は、主体が苦境にあるときにそう望むように、対象と自我理想の間に合意を成立させようとする試みである。</w:t>
      </w:r>
      <w:r>
        <w:t xml:space="preserve"> </w:t>
      </w:r>
    </w:p>
    <w:p>
      <w:pPr>
        <w:pStyle w:val="a2"/>
      </w:pPr>
      <w:r>
        <w:rPr>
          <w:rFonts w:hint="eastAsia"/>
        </w:rPr>
        <w:t xml:space="preserve">この投影〔projection〕に続いて、投影された自我理想が部分的に自我に再取り入れされる。これは暗に、対象がナルシシズム的リビドーで備給されたことを意味する。この再取り入れ〔reintrojection〕は、最初の投影に比べて、愛の本質的な要素を示している。このような再取り入れが行われたときにのみ、人は愛を語ることができる。</w:t>
      </w:r>
      <w:r>
        <w:t xml:space="preserve"> </w:t>
      </w:r>
    </w:p>
    <w:p>
      <w:pPr>
        <w:pStyle w:val="a2"/>
      </w:pPr>
      <w:r>
        <w:rPr>
          <w:rFonts w:hint="eastAsia"/>
        </w:rPr>
        <w:t xml:space="preserve">愛において、自我理想は対象に投影され、こうして「強化」された後、再取り入れをを受ける——ダイモンはこれによって武装を解除される。この結果、エロスが優位に立つことになるが、エロスもまた、自我理想という中立的なエネルギーを自らに取り込んでいる。これが、ほとんどすべての愛の特徴としてしばしば観察される、あらゆる論理的・合理的考察の無視と、ときにはほとんど妄想的なまでの愛の対象の過大評価の説明である。愛している対象の背後には、愛されているという躁的な酔いに浸っている自分の自我があり、その対象は、この世で最も大切なもの、自我理想に取って代わるに値すると判断しているのである。</w:t>
      </w:r>
      <w:r>
        <w:t xml:space="preserve"> </w:t>
      </w:r>
    </w:p>
    <w:p>
      <w:pPr>
        <w:pStyle w:val="a2"/>
      </w:pPr>
      <w:r>
        <w:rPr>
          <w:rFonts w:hint="eastAsia"/>
        </w:rPr>
        <w:t xml:space="preserve">私たちのこの捉え方が最終的に至る結論は次のようなものだ。すなわち愛とは、ダイモンによって深刻に脅かされている自我が、自己愛の統一をかなりの程度乱す罪悪感によって危険にさらされていると考えるところのナルシシズム的統一性、人格の完全な全体性を奪還しようとする試みである。</w:t>
      </w:r>
      <w:r>
        <w:t xml:space="preserve"> </w:t>
      </w:r>
    </w:p>
    <w:p>
      <w:pPr>
        <w:pStyle w:val="a2"/>
      </w:pPr>
      <w:r>
        <w:rPr>
          <w:rFonts w:hint="eastAsia"/>
        </w:rPr>
        <w:t xml:space="preserve">では、愛は罪悪感の結果なのだろうか？</w:t>
      </w:r>
      <w:r>
        <w:t xml:space="preserve">　</w:t>
      </w:r>
      <w:r>
        <w:rPr>
          <w:rFonts w:hint="eastAsia"/>
        </w:rPr>
        <w:t xml:space="preserve">この見解は奇妙に思えるかもしれないが、私たちはそれを支持する。また、この見解は転移という現象によって実証されていると考えている。この点で、転移を愛と区別する決定的な特徴を強調しておこう。①対象について選択の余地がないにもかかわらず、年齢や性別を完全に無視し、あらゆる個人的資質やその不在を無視して起こるという絶対性、②しばしばベールに包まれてはいるにもかかわらず、患者が医師に会う前にその存在を明らかにすることもあるような衝動性、などである。</w:t>
      </w:r>
      <w:r>
        <w:t xml:space="preserve"> </w:t>
      </w:r>
    </w:p>
    <w:p>
      <w:pPr>
        <w:pStyle w:val="a2"/>
      </w:pPr>
      <w:r>
        <w:rPr>
          <w:rFonts w:hint="eastAsia"/>
        </w:rPr>
        <w:t xml:space="preserve">転移の無差別性と必然性とは対照的に、愛は、状況によって大きく密接に条件づけられ、少なくとも最小限の範囲で条件が適合しない場合、その初期段階において傷つきやすく、変わりやすいものである。</w:t>
      </w:r>
      <w:r>
        <w:t xml:space="preserve"> </w:t>
      </w:r>
    </w:p>
    <w:p>
      <w:pPr>
        <w:pStyle w:val="a2"/>
      </w:pPr>
      <w:r>
        <w:rPr>
          <w:rFonts w:hint="eastAsia"/>
        </w:rPr>
        <w:t xml:space="preserve">この現象論的な違いはかなりの程度、心理学的な違いをあらわにしている。転移の特徴である、事実上あらゆる状況下で発生する必然性と衝動性は、何を示しているのだろうか。これらは「どんなことがあろうと〔cost</w:t>
      </w:r>
      <w:r>
        <w:t xml:space="preserve"> what it </w:t>
      </w:r>
      <w:r>
        <w:rPr>
          <w:rFonts w:hint="eastAsia"/>
        </w:rPr>
        <w:t xml:space="preserve">may〕」という態度の特徴である。またそれは、転移が、ダイモンから守ってくれる愛の力を（恋する人と同じように）直感的に悟ることから生まれるパニックの気分から生じたような、そういう絶望的な行為であることの表現ではないだろうか？</w:t>
      </w:r>
      <w:r>
        <w:t xml:space="preserve">　</w:t>
      </w:r>
      <w:r>
        <w:rPr>
          <w:rFonts w:hint="eastAsia"/>
        </w:rPr>
        <w:t xml:space="preserve">しかし、なんという違いだろう。愛する人は抜かりない戦士のように、最初の接近において、ダイモンから自我理想という武器を奪い取る方法を、彼がそれをまだ掴みおおせる前から知っていたのである。</w:t>
      </w:r>
      <w:r>
        <w:t xml:space="preserve"> </w:t>
      </w:r>
    </w:p>
    <w:p>
      <w:pPr>
        <w:pStyle w:val="a2"/>
      </w:pPr>
      <w:r>
        <w:rPr>
          <w:rFonts w:hint="eastAsia"/>
        </w:rPr>
        <w:t xml:space="preserve">主体性のない受動的な状態を何年も続けることしかできない神経症患者（転移神経症の中間状態）と、恋する人の活動性と主体性には、ほとんどグロテスクな対照がある。彼は、対象を口説く際に、自分の自我理想を投影し、対象を自分の希望的空想に一致するように改造し、それに可能な限りの現実性を持たせようとする絶え間ない努力をする。人間の動機づけにおいて、愛ほど効果的な力はない。成熟した恋人は、勝利の戦士である。</w:t>
      </w:r>
      <w:r>
        <w:t xml:space="preserve"> </w:t>
      </w:r>
    </w:p>
    <w:p>
      <w:pPr>
        <w:pStyle w:val="a2"/>
      </w:pPr>
      <w:r>
        <w:rPr>
          <w:rFonts w:hint="eastAsia"/>
        </w:rPr>
        <w:t xml:space="preserve">転移と愛の違いは罪悪感だけなのだろうか？</w:t>
      </w:r>
      <w:r>
        <w:t xml:space="preserve">　</w:t>
      </w:r>
      <w:r>
        <w:rPr>
          <w:rFonts w:hint="eastAsia"/>
        </w:rPr>
        <w:t xml:space="preserve">精神分析的には、愛の場合は自我理想だけが対象に投影されるのに対し、転移の場合は超自我、自我理想、ダイモンが投影されるという違いがある。また、転移は、対象が愛の対象であるだけでなく、おそらくそれ以上に不安の対象であるという点でも、愛とは大きく異なっている。</w:t>
      </w:r>
      <w:r>
        <w:t xml:space="preserve"> </w:t>
      </w:r>
    </w:p>
    <w:p>
      <w:pPr>
        <w:pStyle w:val="a2"/>
      </w:pPr>
      <w:r>
        <w:rPr>
          <w:rFonts w:hint="eastAsia"/>
        </w:rPr>
        <w:t xml:space="preserve">自我理想が完全な投影的な備給が可能なのに対し、ダイモンは部分的にしか投影できないようだ——おそらく、エロス的な衝動の可塑性と置換性のためだろう。投影が完了した後も、分析中の患者が抑うつや不定愁訴を繰り返していることは、このことを物語っている。</w:t>
      </w:r>
      <w:r>
        <w:t xml:space="preserve"> </w:t>
      </w:r>
    </w:p>
    <w:p>
      <w:pPr>
        <w:pStyle w:val="a2"/>
      </w:pPr>
      <w:r>
        <w:rPr>
          <w:rFonts w:hint="eastAsia"/>
        </w:rPr>
        <w:t xml:space="preserve">愛することはすべて、愛されることと等価である。最後の分析では、愛されたいという願いがあるだけで、愛されたいという願いが幼児的（前性器期的）であるか成熟的（性器期的）であるかはメカニズムに依存するだけである。愛する主体が自我として感じている自我理想と対象が一致するか、あるいは状況が逆転して、その人自身が自我理想を演じ、対象を自我に還元するか、そのどちらかである。</w:t>
      </w:r>
      <w:r>
        <w:t xml:space="preserve"> </w:t>
      </w:r>
    </w:p>
    <w:p>
      <w:pPr>
        <w:pStyle w:val="a2"/>
      </w:pPr>
      <w:r>
        <w:rPr>
          <w:rFonts w:hint="eastAsia"/>
        </w:rPr>
        <w:t xml:space="preserve">この二つのメカニズムは、恋愛の現象の中で特別な位置を占めている。一方〔女性型〕には、恋する人のタイプとして、対象を見上げ、対象に服従し、対象による世話を要求し、享受し、見返りに愛されることを強く要求する人がいる。もう一方〔男性型〕の極端な例としては、愛護的、博愛的な支配、世話、出費に主に関心を持ち、愛情の見返りをあまり気にしない人がいる。</w:t>
      </w:r>
      <w:r>
        <w:t xml:space="preserve"> </w:t>
      </w:r>
    </w:p>
    <w:p>
      <w:pPr>
        <w:pStyle w:val="a2"/>
      </w:pPr>
      <w:r>
        <w:rPr>
          <w:rFonts w:hint="eastAsia"/>
        </w:rPr>
        <w:t xml:space="preserve">区別するために、私たちは前者のタイプを女性的な愛、後者のタイプを男性的な愛と呼んでいる。これらの呼称は一般的な印象に基づくものであり、これらの愛の形態が常にそれぞれの性別に一致すると主張するものではない</w:t>
      </w:r>
      <w:r>
        <w:rPr>
          <w:rStyle w:val="af"/>
        </w:rPr>
        <w:footnoteReference w:id="34"/>
      </w:r>
      <w:r>
        <w:t xml:space="preserve">。</w:t>
      </w:r>
      <w:r>
        <w:t xml:space="preserve"> </w:t>
      </w:r>
    </w:p>
    <w:p>
      <w:pPr>
        <w:pStyle w:val="a2"/>
      </w:pPr>
      <w:r>
        <w:rPr>
          <w:rFonts w:hint="eastAsia"/>
        </w:rPr>
        <w:t xml:space="preserve">強調するのは余計なことだが、この二つの愛の心理的な違いは、愛の意味がダイモンの武装解除であるという記述と矛盾しない。ただ方法が違うだけである。男性型は自我理想の属性を傲慢にして自我との間の緊張をすべて消滅させるが、女性型は、自我に愛されることによって自我理想を満足させるという錯覚によって成功する。この愛のプロセスの説明が正しいことを確認するのは、それがナルシシズムの心理学の矛盾を解決していることである。フロイトの『ナルシシズム入門』では、対象との関係で本質的な特徴は「愛されたい」という欲求〔＝女性的〕であるのに対し、『リビドー的類型について』〔『エロス論集』ちくま学芸文庫、所収〕では逆に「愛したい」という積極的な欲求〔＝男性的〕がナルシシズム的タイプの特徴であると述べられている。フロイトが論じた二つのタイプは、私たちが女性的、男性的と呼ぶ愛に完全に対応しているようであり、すでに述べたように、どちらも愛されたいという深い願望に帰結する</w:t>
      </w:r>
      <w:r>
        <w:rPr>
          <w:rStyle w:val="af"/>
        </w:rPr>
        <w:footnoteReference w:id="35"/>
      </w:r>
      <w:r>
        <w:t xml:space="preserve">。</w:t>
      </w:r>
      <w:r>
        <w:t xml:space="preserve"> </w:t>
      </w:r>
    </w:p>
    <w:p>
      <w:pPr>
        <w:pStyle w:val="a2"/>
      </w:pPr>
      <w:r>
        <w:rPr>
          <w:rFonts w:hint="eastAsia"/>
        </w:rPr>
        <w:t xml:space="preserve">愛のナルシシズム的な陶酔は、自我理想が投影する願望的な役割を対象が果たすことを要求する。愛の報いにおいて、これは愛されているという感覚を強化する。幻想を破壊するようなことは起こらないが、驚くような欺瞞の可能性はある。対象が〔自我理想に〕完全に適合すればするほど、愛はより幸福で激しくなる。これは、特に「一目惚れ」の場合に当てはまるようだ。例えば、若きウェルテルは、初対面で、パンを与える子供たちに囲まれた愛情深い母親のように見えるロッテに深い恋心を抱くようになる。</w:t>
      </w:r>
      <w:r>
        <w:t xml:space="preserve"> </w:t>
      </w:r>
    </w:p>
    <w:p>
      <w:pPr>
        <w:pStyle w:val="a2"/>
      </w:pPr>
      <w:r>
        <w:rPr>
          <w:rFonts w:hint="eastAsia"/>
        </w:rPr>
        <w:t xml:space="preserve">ときには、自我理想の願望と対象のリアクションとの間にほとんど一致がなくても、報われた愛の感覚を生み出すことができる場合がある。〔しかし、〕対象からの著しい無関心や拒絶によっては、恋人は多かれ少なかれ深い抑うつ状態に陥り、自尊心の著しい低下を伴う重度のナルシシズム的傷害に陥る。ナルシシズム的な自我は、ダイモンに対する制御に失敗し、ダイモンは自我に対する勝利に酔いしれている。ダイモンから奪い取った自我理想は、再びダイモンの目的に従属するようになる。空想していた自我理想と実現可能な自我理想との間の矛盾は避けられず、自我は罪悪感の淵に落ち込み、完全に無価値であることを感じるまでになる。</w:t>
      </w:r>
      <w:r>
        <w:t xml:space="preserve"> </w:t>
      </w:r>
    </w:p>
    <w:p>
      <w:pPr>
        <w:pStyle w:val="a2"/>
      </w:pPr>
      <w:r>
        <w:rPr>
          <w:rFonts w:hint="eastAsia"/>
        </w:rPr>
        <w:t xml:space="preserve">成熟した人格に見られる自尊心の保持は、失意にもかかわらず、新しい対象に愛情を注ぎ込むことを可能にするが、これは——ダイモンから逃れるために——その自我理想に愛されていることを自ら証明できる自我に由来している。愛に失望した後、自我は同性愛を経て、ナルシシズム的な引きこもりや自殺的なマゾヒズムに回帰することがある。</w:t>
      </w:r>
      <w:r>
        <w:t xml:space="preserve"> </w:t>
      </w:r>
    </w:p>
    <w:p>
      <w:pPr>
        <w:pStyle w:val="a2"/>
      </w:pPr>
      <w:r>
        <w:rPr>
          <w:rFonts w:hint="eastAsia"/>
        </w:rPr>
        <w:t xml:space="preserve">自我理想の投影に続く再取り入れとしての愛、という解釈の正しさは、その有用性によって、つまり、これまで不明瞭だった多くのことを私たちに照らしてくれることによって評価される。この点を説明するために、フロイトがこれまで説明されていない現象として示したもので、精神病理学の理解にとっても、人格形成の理解にとっても、間違いなく最も重要であると思われるものを選ぶ。フロイトはまず同性愛において、後にメランコリーにおいて、そして最後に、「自我とエス」において、通常の人格形成に起因するとした同一化による対象備給の代替を確立した。</w:t>
      </w:r>
      <w:r>
        <w:t xml:space="preserve"> </w:t>
      </w:r>
    </w:p>
    <w:p>
      <w:pPr>
        <w:pStyle w:val="a2"/>
      </w:pPr>
      <w:r>
        <w:rPr>
          <w:rFonts w:hint="eastAsia"/>
        </w:rPr>
        <w:t xml:space="preserve">「人が性的対象を手放さなければならないとき、メランコリーで起こるように、自我の中にその対象が復活したとしか言いようのない自我の変化が起こることが非常に多い。口唇期のメカニズムへの一種の回帰であるこの導入を行うことで、自我は対象があきらめられるのを容易にし、そのプロセスを可能にするのだろう。この同一化は、エスがその対象をあきらめることができる唯一の条件であるとさえ言えるかもしれない。いずれにせよ、このプロセスは、特に発達の初期段階において非常に頻繁に見られるものであり、自我の性格は放棄された対象備給の沈殿物であり、過去の対象の選択の記録を含んでいるという結論を指し示している」</w:t>
      </w:r>
      <w:r>
        <w:rPr>
          <w:rStyle w:val="af"/>
        </w:rPr>
        <w:footnoteReference w:id="36"/>
      </w:r>
      <w:r>
        <w:t xml:space="preserve">。</w:t>
      </w:r>
      <w:r>
        <w:t xml:space="preserve"> </w:t>
      </w:r>
    </w:p>
    <w:p>
      <w:pPr>
        <w:pStyle w:val="a2"/>
      </w:pPr>
      <w:r>
        <w:rPr>
          <w:rFonts w:hint="eastAsia"/>
        </w:rPr>
        <w:t xml:space="preserve">私たちは、フロイトが「この置き換えの正確な性質はまだ私たちにはわからない」と留保したことは、私たちの愛過程の捉え方に照らして、もはや正当化されないと信じている。なぜなら、この識別、対象愛の置き換え（再取り入れ）は、新たに生じる現象ではなく、愛の過程のごく初期に起こり、その不可欠の一部となるからだ。再取り入れの概念と、愛のプロセスにおけるその卓越した重要性は、さらに、「欲動とその運命」〔『自我論集』ちくま学芸文庫／</w:t>
      </w:r>
      <w:r>
        <w:rPr>
          <w:rFonts w:hint="eastAsia"/>
        </w:rPr>
        <w:t xml:space="preserve">『フロイト全集14』岩波書店、所収〕におけるフロイトの概念によって大きく強化されている。「それは主としてナルシシズム的であり、その後、自我に組み込まれたそれらの対象に移され、今ではかなり拡張されている……」</w:t>
      </w:r>
      <w:r>
        <w:rPr>
          <w:rStyle w:val="af"/>
        </w:rPr>
        <w:footnoteReference w:id="37"/>
      </w:r>
      <w:r>
        <w:t xml:space="preserve">と。</w:t>
      </w:r>
      <w:r>
        <w:t xml:space="preserve"> </w:t>
      </w:r>
    </w:p>
    <w:p>
      <w:pPr>
        <w:pStyle w:val="a2"/>
      </w:pPr>
      <w:r>
        <w:rPr>
          <w:rFonts w:hint="eastAsia"/>
        </w:rPr>
        <w:t xml:space="preserve">多くの場合、愛から生じる葛藤や合併症は、愛にある状態を大幅に長引かせる慢性的な苦しみによる一種の償い、すなわちダイモンの宥和を構成し、彼はこうして自分の一時的な無力さに対して複利で復讐している。愛の関係が終了すると、自我はダイモンによって支配されているのと同じ厳しさと批判をもってその対象を扱う。このことは、かつての愛の対象に対する攻撃を理解できるようにする。それは、ダイモンの罰を対象に移そうとする自我の試みである。これは同時に、私はその対象を愛していない、という定式にしたがってダイモンの歓心を引くこと〔captatio〕を意味する。</w:t>
      </w:r>
      <w:r>
        <w:t xml:space="preserve"> </w:t>
      </w:r>
    </w:p>
    <w:bookmarkEnd w:id="38"/>
    <w:bookmarkStart w:id="45" w:name="自足的虚構"/>
    <w:p>
      <w:pPr>
        <w:pStyle w:val="2"/>
      </w:pPr>
      <w:r>
        <w:rPr>
          <w:rFonts w:hint="eastAsia"/>
        </w:rPr>
        <w:t xml:space="preserve">自足的虚構</w:t>
      </w:r>
    </w:p>
    <w:p>
      <w:pPr>
        <w:pStyle w:val="FirstParagraph"/>
      </w:pPr>
      <w:r>
        <w:rPr>
          <w:rFonts w:hint="eastAsia"/>
        </w:rPr>
        <w:t xml:space="preserve">子宮外妊娠の初期、乳児は自分以外の快楽の源泉を知らない。この状態は、フェレンツィが述べた「無条件全能の期間」の範囲に入る。フロイトによれば、母親の乳房は、しばらくの間、子供にとって自分の身体の一部とみなされる。フロイトのこの概念は、これまでその基本的な意義が十分に理解されておらず、実際、ほとんど認識されていない。自我がいつ発見されるか、というお馴染みの論争は、「対象がいつ発見されるか」という、より重要な問題に、より正しく、実りあるものに置き換えられなければならない。</w:t>
      </w:r>
      <w:r>
        <w:t xml:space="preserve"> </w:t>
      </w:r>
    </w:p>
    <w:p>
      <w:pPr>
        <w:pStyle w:val="a2"/>
      </w:pPr>
      <w:r>
        <w:rPr>
          <w:rFonts w:hint="eastAsia"/>
        </w:rPr>
        <w:t xml:space="preserve">この幼児的全能感の段階は、幼児の「自足的虚構〔autarchic</w:t>
      </w:r>
      <w:r>
        <w:t xml:space="preserve"> </w:t>
      </w:r>
      <w:r>
        <w:rPr>
          <w:rFonts w:hint="eastAsia"/>
        </w:rPr>
        <w:t xml:space="preserve">fiction〕」である。その証拠に、乳児が離乳に対して自慰行為で反応する頻度が高い。これは、乳児の自我がいかに不本意ながら対象に自分を向け、全能感に固執するあまり、まず対象を否定してしまうかを示しているのである。</w:t>
      </w:r>
      <w:r>
        <w:t xml:space="preserve"> </w:t>
      </w:r>
    </w:p>
    <w:p>
      <w:pPr>
        <w:pStyle w:val="a2"/>
      </w:pPr>
      <w:r>
        <w:rPr>
          <w:rFonts w:hint="eastAsia"/>
        </w:rPr>
        <w:t xml:space="preserve">この自足的虚構がいかに永続的なものであるかは、性交の精神分析によって明らかにされている。シュタルケの去勢コンプレックスに関する論文</w:t>
      </w:r>
      <w:r>
        <w:rPr>
          <w:rStyle w:val="af"/>
        </w:rPr>
        <w:footnoteReference w:id="39"/>
      </w:r>
      <w:r>
        <w:rPr>
          <w:rFonts w:hint="eastAsia"/>
        </w:rPr>
        <w:t xml:space="preserve">は、最初に言及するに値する。なぜなら、彼は、離乳を通じた経口去勢に最初に注意を促したからである</w:t>
      </w:r>
      <w:r>
        <w:rPr>
          <w:rStyle w:val="af"/>
        </w:rPr>
        <w:footnoteReference w:id="40"/>
      </w:r>
      <w:r>
        <w:rPr>
          <w:rFonts w:hint="eastAsia"/>
        </w:rPr>
        <w:t xml:space="preserve">。フェレンツィは、男女の乳児が自分の身体で子供と母親の二重の役割を演じていることを観察している</w:t>
      </w:r>
      <w:r>
        <w:rPr>
          <w:rStyle w:val="af"/>
        </w:rPr>
        <w:footnoteReference w:id="41"/>
      </w:r>
      <w:r>
        <w:rPr>
          <w:rFonts w:hint="eastAsia"/>
        </w:rPr>
        <w:t xml:space="preserve">。共役は「母性回帰の痕跡」として特徴づけられ、そこでは、生殖器、パートナー、性器分泌物の三重の同一化が見られる。吸引のリズムは、成人のすべてのエロス的な活動の重要な部分として保持され、それによって、かなりの量の口腔的ないし肛門的なエロティズムが膣に移される。本能の変容の中で、乳首を吸うという女性の乳児の喜びは、ペニスを受け入れるという女性の膣の喜びに置き換えられる</w:t>
      </w:r>
      <w:r>
        <w:rPr>
          <w:rStyle w:val="af"/>
        </w:rPr>
        <w:footnoteReference w:id="42"/>
      </w:r>
      <w:r>
        <w:rPr>
          <w:rFonts w:hint="eastAsia"/>
        </w:rPr>
        <w:t xml:space="preserve">。彼女にとって、外部の対象との最初の関係のこの再創造は、離乳のトラウマの克服を意味する「口腔」の取り入れである。ベルンフェルドによれば、男の乳児の手は最初、口に取って代わられ、後にミルクと精液を同一視することによって特徴づけられる。したがって、大人の性交は、乳房の代わりであるばかりでなく、離乳に対するサディズム的な復讐でもあるのだろう。ベルグラーとアイデルベルク</w:t>
      </w:r>
      <w:r>
        <w:rPr>
          <w:rStyle w:val="af"/>
        </w:rPr>
        <w:footnoteReference w:id="43"/>
      </w:r>
      <w:r>
        <w:rPr>
          <w:rFonts w:hint="eastAsia"/>
        </w:rPr>
        <w:t xml:space="preserve">は、子どもが離乳のトラウマを克服しようとして、かつて受動的に耐えなければならなかったことを遊びの中で積極的に再現しようとする強迫観念を繰り返していることを臨床的に観察している。乳房の離脱によるナルシシズム的な傷は、全能感を回復させる自慰行為によって部分的に補われる。著者らは、ペニスをエロスとタナトスの本能的融合と仮定し、死の本能に由来するこの融合の位置が、性行為において非常に大きな変化を遂げ、その満足が自我への危険なしに達成されるようになったと信じている。男性は、男根の母体と同一化することで、受動的な参加者ではなく能動的な参加者となり、離乳のトラウマを克服するのである。</w:t>
      </w:r>
      <w:r>
        <w:t xml:space="preserve"> </w:t>
      </w:r>
    </w:p>
    <w:p>
      <w:pPr>
        <w:pStyle w:val="a2"/>
      </w:pPr>
      <w:r>
        <w:rPr>
          <w:rFonts w:hint="eastAsia"/>
        </w:rPr>
        <w:t xml:space="preserve">このように、引用したすべての著者の意見では、性交は幼児期の性愛の反復という意味を持っている。子－母関係の反響としての性交というこの仮定を超えて、私たちは性行為の深いナルシシズム的な性格を確信している。特に、対象との同一化によって、幼児期の満足感も再現されるからである。基本的なことは、愛されたいという願望——後の自我理想に対する要求の核心——は、授乳する母乳から決して離れたくないという願望に基づいていることである。この憧れは、実際には対象である母親の乳房に向けられているのではなく、むしろナルシシズム的な復元の試みであり、乳房がまだ主体の自我——後の自我理想の基礎——の一部として認識されていたときに向けられたものだからである。この「幼児の重大な誤り」が、与える乳房の「割り当て」に関して、どのような大きな結果をもたらすかについては、愛のプロセスに関連して概説したとおりである。グロテスクに聞こえるかもしれないが、愛のプロセスにおける対象備給は、最終的にこのことから生じており、その目的は、個人が失ったナルシシズム的な完全性を取り戻すことである。フロイトのよく知られた言葉が、このテーゼを裏付けている</w:t>
      </w:r>
      <w:r>
        <w:rPr>
          <w:rStyle w:val="af"/>
        </w:rPr>
        <w:footnoteReference w:id="44"/>
      </w:r>
      <w:r>
        <w:t xml:space="preserve">。</w:t>
      </w:r>
      <w:r>
        <w:t xml:space="preserve"> </w:t>
      </w:r>
    </w:p>
    <w:p>
      <w:pPr>
        <w:pStyle w:val="a2"/>
      </w:pPr>
      <w:r>
        <w:rPr>
          <w:rFonts w:hint="eastAsia"/>
        </w:rPr>
        <w:t xml:space="preserve">自我がそのナルシシズム的な一体感を確かなものにするために、上に述べたような復元の試みによって絶えず努力していることを念頭に置くと、転移における神経症者の振る舞いがようやく明らかになる。それは主として文字通りの空間的分離の恐怖に基づくものである。</w:t>
      </w:r>
      <w:r>
        <w:t xml:space="preserve"> </w:t>
      </w:r>
    </w:p>
    <w:p>
      <w:pPr>
        <w:pStyle w:val="a2"/>
      </w:pPr>
      <w:r>
        <w:rPr>
          <w:rFonts w:hint="eastAsia"/>
        </w:rPr>
        <w:t xml:space="preserve">通常、生殖の本能との関連で片付けられている、愛が性的結合と満足を強く求めるという実に驚くべき事実も、今では理解できるようになった。私たちは、愛の心理学を理解するためには、その発見が不可欠であると思われる正確な心理的決定要因が存在するはずだと考えている。フロイトは、愛は自我が器官的な快楽を得ることによって、その欲求の一部を自己実現的に満たす能力から生じる、と定式化している。この定式化に対して、私たちは、自我は何のために対象の中を回り道して再び自分自身に戻るのか、という疑問を投げかけたいのだ。</w:t>
      </w:r>
      <w:r>
        <w:t xml:space="preserve"> </w:t>
      </w:r>
    </w:p>
    <w:p>
      <w:pPr>
        <w:pStyle w:val="a2"/>
      </w:pPr>
      <w:r>
        <w:rPr>
          <w:rFonts w:hint="eastAsia"/>
        </w:rPr>
        <w:t xml:space="preserve">最終的には、優しい愛も官能的な愛も、同じ目的を持っている。どちらも、反復的な強制の圧力のもとで起こる、本質的にナルシシズム的な復元の試みである。</w:t>
      </w:r>
      <w:r>
        <w:t xml:space="preserve"> </w:t>
      </w:r>
    </w:p>
    <w:p>
      <w:pPr>
        <w:pStyle w:val="a2"/>
      </w:pPr>
      <w:r>
        <w:rPr>
          <w:rFonts w:hint="eastAsia"/>
        </w:rPr>
        <w:t xml:space="preserve">優しさが感情的に表現するものを、性行為は物理的に表現する。優しさにおいては、自我理想の代わりに対象を再投入することで表現されるものが、官能的な愛においては、「収縮</w:t>
      </w:r>
      <w:r>
        <w:rPr>
          <w:rFonts w:hint="eastAsia"/>
        </w:rPr>
        <w:t xml:space="preserve">」への純粋な衝動、つまり、愛の中で人々を支配するこのこれまで不可解だった衝動、できるだけ密接かつ不可分にまとわりつく必要によって明らかにされるのだ。</w:t>
      </w:r>
      <w:r>
        <w:t xml:space="preserve"> </w:t>
      </w:r>
    </w:p>
    <w:p>
      <w:pPr>
        <w:pStyle w:val="a2"/>
      </w:pPr>
      <w:r>
        <w:rPr>
          <w:rFonts w:hint="eastAsia"/>
        </w:rPr>
        <w:t xml:space="preserve">分離感、不完全性、ナルシシズム的な損傷といった感情を最も強く否定するのは、愛の両部分の組み合わせ、つまり一体感の最大限の表現だけである。一体感の最大限の表現は、おそらく、一体感の幻想の具体化である子供の誕生に勝るものはないだろう。</w:t>
      </w:r>
      <w:r>
        <w:t xml:space="preserve"> </w:t>
      </w:r>
    </w:p>
    <w:bookmarkEnd w:id="45"/>
    <w:bookmarkStart w:id="46" w:name="転移"/>
    <w:p>
      <w:pPr>
        <w:pStyle w:val="2"/>
      </w:pPr>
      <w:r>
        <w:rPr>
          <w:rFonts w:hint="eastAsia"/>
        </w:rPr>
        <w:t xml:space="preserve">転移</w:t>
      </w:r>
    </w:p>
    <w:p>
      <w:pPr>
        <w:pStyle w:val="FirstParagraph"/>
      </w:pPr>
      <w:r>
        <w:rPr>
          <w:rFonts w:hint="eastAsia"/>
        </w:rPr>
        <w:t xml:space="preserve">「転移性恋愛についての見解」〔『フロイト全集13』岩波書店、所収〕の中で、フロイトは、転移と愛の間には何の違いも存在しないと述べている。転移は、特殊な条件（分析と抵抗）下の愛にすぎず、したがって、愛の特殊なケースを表しているにすぎない。</w:t>
      </w:r>
      <w:r>
        <w:t xml:space="preserve"> </w:t>
      </w:r>
    </w:p>
    <w:p>
      <w:pPr>
        <w:pStyle w:val="a2"/>
      </w:pPr>
      <w:r>
        <w:rPr>
          <w:rFonts w:hint="eastAsia"/>
        </w:rPr>
        <w:t xml:space="preserve">先に述べた転移における愛についての考察を繰り返し、補足すると、両者の違いは、愛では投影によって対象が自我理想の代わりに置かれるのに対し、転移では医師が投影によって超自我、自我理想、ダイモンを自身のうちに統合している点にあると考えられる。後者では、不安が優勢になる。前者では、対象である愛の働きを過大評価する。このように、医師に対する恐怖、あるいは医師に愛されたいという願望は、転移の特徴的な態度である。</w:t>
      </w:r>
      <w:r>
        <w:t xml:space="preserve"> </w:t>
      </w:r>
    </w:p>
    <w:p>
      <w:pPr>
        <w:pStyle w:val="a2"/>
      </w:pPr>
      <w:r>
        <w:rPr>
          <w:rFonts w:hint="eastAsia"/>
        </w:rPr>
        <w:t xml:space="preserve">陽性転移では、患者は自分の自我理想である医師に愛されたいと思っている。この医師から愛されたいという願望と医師に対する恐怖の結果として、医師とのナルシシズム的同一化が生じる。愛の場合と同様に、すべての陽性転移の核は、愛されたいというナルシシズム的な現象である。同様に、能動的な愛と受動的な愛されたいという欲求について前に述べたことは、転移にも当てはまる。能動的に愛する人〔女性型〕は、対象の中に自分の自我を表し、その人自身は自分の自我理想を模倣している。受動的に愛されたいと願う人〔男性型〕にとって、対象は自分が愛されたいと願う自我理想を表し、自分自身は自我を表す。</w:t>
      </w:r>
      <w:r>
        <w:t xml:space="preserve"> </w:t>
      </w:r>
    </w:p>
    <w:p>
      <w:pPr>
        <w:pStyle w:val="a2"/>
      </w:pPr>
      <w:r>
        <w:rPr>
          <w:rFonts w:hint="eastAsia"/>
        </w:rPr>
        <w:t xml:space="preserve">陰性転移では、医師（両親）に向けられた憎しみは、自我にも向けられる。この憎しみはしばしば愛を装う（陰性転移を装った陽性転移）、あるいは患者の攻撃性は医師の愛を試す試みに過ぎない。対象に対するその人自身の自我の攻撃の排出がうまくいかないこともある。これが「正常な」憎悪と神経症的な憎悪の違いである。前者〔正常な憎悪〕では、タナトスの対象への指示が成功している。神経症的な憎悪は、不安と罪悪感を通じて自我に向けられる。</w:t>
      </w:r>
      <w:r>
        <w:t xml:space="preserve"> </w:t>
      </w:r>
    </w:p>
    <w:p>
      <w:pPr>
        <w:pStyle w:val="a2"/>
      </w:pPr>
      <w:r>
        <w:rPr>
          <w:rFonts w:hint="eastAsia"/>
        </w:rPr>
        <w:t xml:space="preserve">これが〔愛と憎しみの〕両価性の精神病理学につながる。ここで概説した捉え方によれば、愛とは、対象へと投影された自我理想から愛されたいという願望であり、憎しみとは、タナトスを対象へと移そうとする試みである。この試みは失敗し、対象がその人自身の自我理想であるために攻撃は抑制され、結局、攻撃は再び自我に向けられることになる。</w:t>
      </w:r>
      <w:r>
        <w:t xml:space="preserve"> </w:t>
      </w:r>
    </w:p>
    <w:p>
      <w:pPr>
        <w:pStyle w:val="a2"/>
      </w:pPr>
      <w:r>
        <w:rPr>
          <w:rFonts w:hint="eastAsia"/>
        </w:rPr>
        <w:t xml:space="preserve">このように、陽性・陰性の転移では、恋愛と同様にナルシシズム的な要素が支配的である。恋愛と異なるのは、対象に投影される超自我の関与の度合いである（恋愛では自我理想のみが、転移では自我理想とダイモンが関与する）。分析的治療の進歩は、自我理想を医師に投影するためにダイモンが医師に投影されることを克服し、治療終了時にこれを解決することにある。こうして、患者は「愛する」ことを学ぶ。不安に対する防衛としての同一化は、以前に愛の不可欠な部分として指定した同一化にも道を譲る。</w:t>
      </w:r>
      <w:r>
        <w:t xml:space="preserve"> </w:t>
      </w:r>
    </w:p>
    <w:bookmarkEnd w:id="46"/>
    <w:bookmarkStart w:id="48" w:name="ナルシシズム的復元と攻撃性の発露"/>
    <w:p>
      <w:pPr>
        <w:pStyle w:val="2"/>
      </w:pPr>
      <w:r>
        <w:rPr>
          <w:rFonts w:hint="eastAsia"/>
        </w:rPr>
        <w:t xml:space="preserve">ナルシシズム的復元と攻撃性の発露</w:t>
      </w:r>
    </w:p>
    <w:p>
      <w:pPr>
        <w:pStyle w:val="FirstParagraph"/>
      </w:pPr>
      <w:r>
        <w:rPr>
          <w:rFonts w:hint="eastAsia"/>
        </w:rPr>
        <w:t xml:space="preserve">まず、自我は不本意ながら対象に向かっていく。虚構的な自己充足性の段階では、自分の体もまた対象である〔＝自体愛〕。この虚構を維持しようとする試みが失敗した後でのみ、失われた全能感を回復するために他のメカニズムに頼る。これが自我にとっての対象の最も基本的な機能であり使い方である。これが自我理想の起源であり、対象のリビドー的備給である。</w:t>
      </w:r>
      <w:r>
        <w:t xml:space="preserve"> </w:t>
      </w:r>
    </w:p>
    <w:p>
      <w:pPr>
        <w:pStyle w:val="a2"/>
      </w:pPr>
      <w:r>
        <w:rPr>
          <w:rFonts w:hint="eastAsia"/>
        </w:rPr>
        <w:t xml:space="preserve">大人の恋愛は、罪悪感に依存した対象備給の特殊な例とされてきた。しかし、幼児はまず、自己保存の本能に奉仕し、喜びの源となる対象に愛情を注ぐ。このことは、愛と罪悪感が密接に結びついているという私たちの見方を覆すように思われる。この例では罪悪感を感じる場所がないように思われる。しかし、自己攻撃の力が十分に発揮されないと、罪悪感から完全に解放されることはない。</w:t>
      </w:r>
      <w:r>
        <w:t xml:space="preserve"> </w:t>
      </w:r>
    </w:p>
    <w:p>
      <w:pPr>
        <w:pStyle w:val="a2"/>
      </w:pPr>
      <w:r>
        <w:rPr>
          <w:rFonts w:hint="eastAsia"/>
        </w:rPr>
        <w:t xml:space="preserve">アンナ・フロイトは、ドロシー・バーリンガムの報告書に関連して、子どものコミュニケーション衝動——それによれば、それは顕示的な目的とは別に、相互の性的快楽におけるパートナーシップへの招待でもある——について、非常に重要だと思われるいくつかの見解を示している。アンナ・フロイトは、この概念からすれば、禁止しない子育ては、子供が性的なパートナーシップを期待することができないので、結果的には、通常の禁止する子育てと変わらないと考えている。このことは、幼児の自慰行為に対して最も完全に寛容であっても、期待した効果が得られない場合があることを説明するものだろう。子供は、大人が自分の性行為に参加しないことに、実際の拒絶を感じるかもしれないのだ。</w:t>
      </w:r>
      <w:r>
        <w:t xml:space="preserve"> </w:t>
      </w:r>
    </w:p>
    <w:p>
      <w:pPr>
        <w:pStyle w:val="a2"/>
      </w:pPr>
      <w:r>
        <w:rPr>
          <w:rFonts w:hint="eastAsia"/>
        </w:rPr>
        <w:t xml:space="preserve">ここから、幼児に罪悪感を想定するのは、ほんの短いステップに過ぎない。幼い子どもは、自分の欲望が大人の態度と食い違っていること、そのために発達中の自我理想から大きく遅れていることを知らないままではいられないのだ。</w:t>
      </w:r>
      <w:r>
        <w:t xml:space="preserve"> </w:t>
      </w:r>
    </w:p>
    <w:p>
      <w:pPr>
        <w:pStyle w:val="a2"/>
      </w:pPr>
      <w:r>
        <w:rPr>
          <w:rFonts w:hint="eastAsia"/>
        </w:rPr>
        <w:t xml:space="preserve">このような子どもの罪悪感の想定は精神分析理論に反するという反論に対しては、私たちはここでは、エディプス・コンプレックスが完全に解決された後に初めて最終的に現れる超自我の——いかに遠大な結果をもたらすにせよ——その前段階について述べているに過ぎないと主張する。さらに、罪悪感の問題では、最終的には不安の問題を扱っているという事実を見落とさず、この二つの現象の間の密接な心理的関係を把握しよう。そして、大人において罪悪感が愛の動機として作用するように、子供において不安が作用することは当然であろう。フロイトの結論は、基本的にこの不安は分離の恐怖の表現であるということだが、しかしこの仮定された母親から離れたくないという願望を究極の深い動機とは見なさず、むしろ幼児のナルシシズム的一体感への脅威を究極の危険と見なすのである。この自己充足的虚構は、根本的な不安が、精神生活の範型であると思われるこの架空の統一性への脅威に基づいていることを明確に示唆するものである。したがって、この虚構の妨害は、ナルシシズムの最も厳しい違反と評価されるだろう。それの復元は対象備給の根底にあり、そのほとんど強制的なまでの執拗さを説明するものである。</w:t>
      </w:r>
      <w:r>
        <w:t xml:space="preserve"> </w:t>
      </w:r>
    </w:p>
    <w:p>
      <w:pPr>
        <w:pStyle w:val="a2"/>
      </w:pPr>
      <w:r>
        <w:rPr>
          <w:rFonts w:hint="eastAsia"/>
        </w:rPr>
        <w:t xml:space="preserve">対象がこのナルシシズム的復元に奉仕させられる仕方は、すでに愛という現象の議論の中で十分に強調されている。自我が対象からリビドーを引き離し、その代償として対象を成長・拡大させるという、おなじみの精神分析的概念に言及しよう。さらに、再取り入れはダイモンに対する武器であるだけでなく、自我の拡大と強化を通じて、全能という虚構に大きな支持を与えていることも付け加えておこう。このことは、反復的な強制の圧力の下で起こるナルシシズム的な復元の努力の中に愛が数えられうることのさらなる証拠と思われる。以上のことからわかるように、私たちは、ナルシシズム的備給と対象的リビドー備給の間に、原理的に遠大な区別、ましてやアンチテーゼが正当化されるとは考えない——その区別の発見的価値がいかに大きいものであろうとも。対象的備給は、ナルシシズム的リビドーの状態に関する記述以外の意味を持たず、それゆえ指標以外の何ものでもない。このように、私たちは、『新入門講義』で述べられている、50年間変わらなかったフロイトの当初の主張と完全に一致している。「したがって、自我リビドーが対象リビドーへと、対象リビドーが自我リビドーへと、絶えず変容している」（p.</w:t>
      </w:r>
      <w:r>
        <w:t xml:space="preserve"> </w:t>
      </w:r>
      <w:r>
        <w:rPr>
          <w:rFonts w:hint="eastAsia"/>
        </w:rPr>
        <w:t xml:space="preserve">141）のである。</w:t>
      </w:r>
      <w:r>
        <w:t xml:space="preserve"> </w:t>
      </w:r>
    </w:p>
    <w:p>
      <w:pPr>
        <w:pStyle w:val="a2"/>
      </w:pPr>
      <w:r>
        <w:rPr>
          <w:rFonts w:hint="eastAsia"/>
        </w:rPr>
        <w:t xml:space="preserve">自我にとっての対象の第二の機能、すなわち、もともと自我そのものに向けられたタナトスの攻撃性の解放は、精神経済にとって第一の機能と同じくらい重要であることは確かである。それはまた、ナルシシズム的な無傷さを提供するものでもある。しかし、攻撃性の解消に奉仕する対象との関係こそが人間がなしうる最も尊敬に値するものである、と言い切れるほど私たちは悪意を持っているわけではない。</w:t>
      </w:r>
      <w:r>
        <w:t xml:space="preserve"> </w:t>
      </w:r>
    </w:p>
    <w:p>
      <w:pPr>
        <w:pStyle w:val="a2"/>
      </w:pPr>
      <w:r>
        <w:rPr>
          <w:rFonts w:hint="eastAsia"/>
        </w:rPr>
        <w:t xml:space="preserve">ここでまた、先に述べた自動的な繰り返しの中で、なぜ実物が必要なのかの原因を見つけることができる。なぜ人間は、子供の頃から慣れ親しんだ、心地よい自慰行為に固執しないのだろうか。確かに、これらもすべて自慰行為で部分的に表現できたはずだ。単純に、マゾヒズム的な、つまり神経症的な方法を選ばない限り部分的にこれらの傾向の基層を形成しているような、復讐や敵意などの非常に重要な攻撃的要素を排出する可能性が、主体自身の自我に十分にないからである。自分の自我から対象への攻撃性が不十分で抑制されているために自慰行為に頼らざるを得ないのは、事実上、神経症の汚点である。自慰行為における攻撃性の不十分な排出は、過小評価されるべきではない状況だと思われる</w:t>
      </w:r>
      <w:r>
        <w:rPr>
          <w:rStyle w:val="af"/>
        </w:rPr>
        <w:footnoteReference w:id="47"/>
      </w:r>
      <w:r>
        <w:rPr>
          <w:rFonts w:hint="eastAsia"/>
        </w:rPr>
        <w:t xml:space="preserve">。第一に、それは自慰による満足の不十分さを説明するものであり、第二に、自慰の無害性について、完全に否定するものではないにせよ、しばしば主張されることに大きな疑問を抱かせるものだからである。</w:t>
      </w:r>
      <w:r>
        <w:t xml:space="preserve"> </w:t>
      </w:r>
    </w:p>
    <w:p>
      <w:pPr>
        <w:pStyle w:val="a2"/>
      </w:pPr>
      <w:r>
        <w:rPr>
          <w:rFonts w:hint="eastAsia"/>
        </w:rPr>
        <w:t xml:space="preserve">自己充足的な虚構は、人間がその生涯を通じて、対象の助けを借りて追求するナルシシズム的な完全性への努力の範型である。おそらく、このことを直感的に理解することは、世界が観念としてのみ存在すると教える哲学体系に、たとえ歪んだ形であっても反映されているのだろう。もっと魅力的なのは、最終的には、人間の全生涯が虚構に織り込まれ、虚構なしにはほとんどありえない理由が、この自己充足的な虚構にあるのではないか、という考えである。</w:t>
      </w:r>
      <w:r>
        <w:t xml:space="preserve"> </w:t>
      </w:r>
    </w:p>
    <w:bookmarkEnd w:id="48"/>
    <w:bookmarkEnd w:id="49"/>
    <w:sectPr w:rsidR="00E54734" w:rsidRPr="00A23C13" w:rsidSect="002E18CE">
      <w:footerReference r:id="rId8" w:type="even"/>
      <w:footerReference r:id="rId9" w:type="default"/>
      <w:headerReference r:id="rId10" w:type="first"/>
      <w:footerReference r:id="rId11" w:type="first"/>
      <w:pgSz w:code="9" w:h="16838" w:w="11906"/>
      <w:pgMar w:bottom="1985" w:footer="850" w:gutter="0" w:header="1077" w:left="1871" w:right="1531" w:top="1985"/>
      <w:cols w:space="720"/>
      <w:docGrid w:charSpace="776" w:linePitch="398"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明朝 Demibold">
    <w:panose1 w:val="020206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85B8" w14:textId="77D92515" w:rsidR="00512189" w:rsidRDefault="00A23C13" w:rsidP="00A23C13">
    <w:pPr>
      <w:pStyle w:val="af4"/>
      <w:spacing w:after="240"/>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EB24" w14:textId="77777777" w:rsidR="00512189" w:rsidRDefault="00975A24" w:rsidP="00975A24">
    <w:pPr>
      <w:pStyle w:val="af4"/>
      <w:spacing w:after="240"/>
      <w:jc w:val="center"/>
    </w:pPr>
    <w:r>
      <w:fldChar w:fldCharType="begin"/>
    </w:r>
    <w:r>
      <w:instrText>PAGE   \* MERGEFORMAT</w:instrText>
    </w:r>
    <w:r>
      <w:fldChar w:fldCharType="separate"/>
    </w:r>
    <w:r>
      <w:rPr>
        <w:lang w:val="ja-JP"/>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B173" w14:textId="77777777" w:rsidR="00512189" w:rsidRDefault="00512189">
    <w:pPr>
      <w:pStyle w:val="af4"/>
      <w:spacing w:after="24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ac"/>
      </w:pPr>
      <w:r>
        <w:rPr>
          <w:rStyle w:val="af"/>
        </w:rPr>
        <w:footnoteRef/>
      </w:r>
      <w:r>
        <w:t xml:space="preserve"> </w:t>
      </w:r>
      <w:r>
        <w:t xml:space="preserve">Freud: Three Essays on the Theory of Sexuality. (Trans. by James Strachey.) London: Imago Publishing Co., Ltd., 1949, p. </w:t>
      </w:r>
      <w:r>
        <w:rPr>
          <w:rFonts w:hint="eastAsia"/>
        </w:rPr>
        <w:t xml:space="preserve">95.〔「性理論三篇」『エロス論集』162頁、ちくま学芸文庫／「性理論のための三編」『フロイト全集6』岩波書店〕</w:t>
      </w:r>
    </w:p>
  </w:footnote>
  <w:footnote w:id="21">
    <w:p>
      <w:pPr>
        <w:pStyle w:val="ac"/>
      </w:pPr>
      <w:r>
        <w:rPr>
          <w:rStyle w:val="af"/>
        </w:rPr>
        <w:footnoteRef/>
      </w:r>
      <w:r>
        <w:t xml:space="preserve"> </w:t>
      </w:r>
      <w:r>
        <w:t xml:space="preserve">Freud: On Narcissism: An Introduction. Coll. Papers, </w:t>
      </w:r>
      <w:r>
        <w:rPr>
          <w:rFonts w:hint="eastAsia"/>
        </w:rPr>
        <w:t xml:space="preserve">IV.〔「ナルシシズム入門」『エロス論集』250頁、ちくま学芸文庫／「ナルシシズムの導入に向けて」『フロイト全集13』岩波書店〕</w:t>
      </w:r>
    </w:p>
  </w:footnote>
  <w:footnote w:id="23">
    <w:p>
      <w:pPr>
        <w:pStyle w:val="ac"/>
      </w:pPr>
      <w:r>
        <w:rPr>
          <w:rStyle w:val="af"/>
        </w:rPr>
        <w:footnoteRef/>
      </w:r>
      <w:r>
        <w:t xml:space="preserve"> </w:t>
      </w:r>
      <w:r>
        <w:t xml:space="preserve">Jekels, Ludwig: Das Schuldgefühl. Psa. Bewegung, IV, 1932, p. 345.</w:t>
      </w:r>
    </w:p>
  </w:footnote>
  <w:footnote w:id="24">
    <w:p>
      <w:pPr>
        <w:pStyle w:val="ac"/>
      </w:pPr>
      <w:r>
        <w:rPr>
          <w:rStyle w:val="af"/>
        </w:rPr>
        <w:footnoteRef/>
      </w:r>
      <w:r>
        <w:t xml:space="preserve"> </w:t>
      </w:r>
      <w:r>
        <w:t xml:space="preserve">Bergler, Edmund: Das Plagiat. Psa. Bewegung, IV, 1932. (See fifteenth and sixteenth forms of unconscious plagiarism.)</w:t>
      </w:r>
    </w:p>
  </w:footnote>
  <w:footnote w:id="26">
    <w:p>
      <w:pPr>
        <w:pStyle w:val="ac"/>
      </w:pPr>
      <w:r>
        <w:rPr>
          <w:rStyle w:val="af"/>
        </w:rPr>
        <w:footnoteRef/>
      </w:r>
      <w:r>
        <w:t xml:space="preserve"> </w:t>
      </w:r>
      <w:r>
        <w:t xml:space="preserve">Freud: On Narcissism: An </w:t>
      </w:r>
      <w:r>
        <w:rPr>
          <w:rFonts w:hint="eastAsia"/>
        </w:rPr>
        <w:t xml:space="preserve">Introduction〔「ナルシシズム入門」『エロス論集』262頁、ちくま学芸文庫〕.</w:t>
      </w:r>
      <w:r>
        <w:t xml:space="preserve"> Coll. Papers, IV.</w:t>
      </w:r>
    </w:p>
  </w:footnote>
  <w:footnote w:id="27">
    <w:p>
      <w:pPr>
        <w:pStyle w:val="ac"/>
      </w:pPr>
      <w:r>
        <w:rPr>
          <w:rStyle w:val="af"/>
        </w:rPr>
        <w:footnoteRef/>
      </w:r>
      <w:r>
        <w:t xml:space="preserve"> </w:t>
      </w:r>
      <w:r>
        <w:t xml:space="preserve">Freud: Group Psychology and the Analysis of the </w:t>
      </w:r>
      <w:r>
        <w:rPr>
          <w:rFonts w:hint="eastAsia"/>
        </w:rPr>
        <w:t xml:space="preserve">Ego〔「集団心理学と自我分析」『フロイト、無意識について語る』光文社古典新訳文庫／『フロイト全集17』岩波書店〕.</w:t>
      </w:r>
      <w:r>
        <w:t xml:space="preserve"> New York: Liveright Publishing Co., 1940.</w:t>
      </w:r>
    </w:p>
  </w:footnote>
  <w:footnote w:id="28">
    <w:p>
      <w:pPr>
        <w:pStyle w:val="ac"/>
      </w:pPr>
      <w:r>
        <w:rPr>
          <w:rStyle w:val="af"/>
        </w:rPr>
        <w:footnoteRef/>
      </w:r>
      <w:r>
        <w:t xml:space="preserve"> </w:t>
      </w:r>
      <w:r>
        <w:t xml:space="preserve">Freud: New Introductory Lectures on </w:t>
      </w:r>
      <w:r>
        <w:rPr>
          <w:rFonts w:hint="eastAsia"/>
        </w:rPr>
        <w:t xml:space="preserve">Psychoanalysis〔「続・精神分析入門」『フロイト全集21』岩波書店〕.</w:t>
      </w:r>
      <w:r>
        <w:t xml:space="preserve"> New York: W. W. Norton &amp; Co., Inc., 1933, pp. 89–90.</w:t>
      </w:r>
    </w:p>
  </w:footnote>
  <w:footnote w:id="29">
    <w:p>
      <w:pPr>
        <w:pStyle w:val="ac"/>
      </w:pPr>
      <w:r>
        <w:rPr>
          <w:rStyle w:val="af"/>
        </w:rPr>
        <w:footnoteRef/>
      </w:r>
      <w:r>
        <w:t xml:space="preserve"> </w:t>
      </w:r>
      <w:r>
        <w:t xml:space="preserve">Freud: New Introductory Lectures on </w:t>
      </w:r>
      <w:r>
        <w:rPr>
          <w:rFonts w:hint="eastAsia"/>
        </w:rPr>
        <w:t xml:space="preserve">Psychoanalysis〔「続・精神分析入門」〕.</w:t>
      </w:r>
      <w:r>
        <w:t xml:space="preserve"> New York: W. W. Norton &amp; Co., Inc., 1933, pp. 92–93.</w:t>
      </w:r>
    </w:p>
  </w:footnote>
  <w:footnote w:id="30">
    <w:p>
      <w:pPr>
        <w:pStyle w:val="ac"/>
      </w:pPr>
      <w:r>
        <w:rPr>
          <w:rStyle w:val="af"/>
        </w:rPr>
        <w:footnoteRef/>
      </w:r>
      <w:r>
        <w:t xml:space="preserve"> </w:t>
      </w:r>
      <w:r>
        <w:t xml:space="preserve">Nunberg, Herman: Allgemeine Neurosenlehre auf Psychoanalytischer Grundlage.　Bern: Hans Huber Verlag, 1932, p. 124.</w:t>
      </w:r>
    </w:p>
  </w:footnote>
  <w:footnote w:id="31">
    <w:p>
      <w:pPr>
        <w:pStyle w:val="ac"/>
      </w:pPr>
      <w:r>
        <w:rPr>
          <w:rStyle w:val="af"/>
        </w:rPr>
        <w:footnoteRef/>
      </w:r>
      <w:r>
        <w:t xml:space="preserve"> </w:t>
      </w:r>
      <w:r>
        <w:t xml:space="preserve">Freud: On Narcissism: An Introduction, Coll. Papers, IV. p. </w:t>
      </w:r>
      <w:r>
        <w:rPr>
          <w:rFonts w:hint="eastAsia"/>
        </w:rPr>
        <w:t xml:space="preserve">51.〔「ナルシシズム入門」『エロス論集』262頁、ちくま学芸文庫〕</w:t>
      </w:r>
    </w:p>
  </w:footnote>
  <w:footnote w:id="32">
    <w:p>
      <w:pPr>
        <w:pStyle w:val="ac"/>
      </w:pPr>
      <w:r>
        <w:rPr>
          <w:rStyle w:val="af"/>
        </w:rPr>
        <w:footnoteRef/>
      </w:r>
      <w:r>
        <w:t xml:space="preserve"> </w:t>
      </w:r>
      <w:r>
        <w:t xml:space="preserve">Freud: The Ego and the Id. London: Hogarth Press, 1927, pp. </w:t>
      </w:r>
      <w:r>
        <w:rPr>
          <w:rFonts w:hint="eastAsia"/>
        </w:rPr>
        <w:t xml:space="preserve">61–62.〔「自我とエス」『自我論集』250頁、ちくま学芸文庫／『フロイト全集18』岩波書店〕</w:t>
      </w:r>
    </w:p>
  </w:footnote>
  <w:footnote w:id="34">
    <w:p>
      <w:pPr>
        <w:pStyle w:val="ac"/>
      </w:pPr>
      <w:r>
        <w:rPr>
          <w:rStyle w:val="af"/>
        </w:rPr>
        <w:footnoteRef/>
      </w:r>
      <w:r>
        <w:t xml:space="preserve"> </w:t>
      </w:r>
      <w:r>
        <w:rPr>
          <w:rFonts w:hint="eastAsia"/>
        </w:rPr>
        <w:t xml:space="preserve">この非対応性は固着</w:t>
      </w:r>
      <w:r>
        <w:rPr>
          <w:rFonts w:hint="eastAsia"/>
        </w:rPr>
        <w:t xml:space="preserve">によって大きく条件づけられている。男性では口唇期への、女性では男根期の水準（ペニス羨望）への固着である。</w:t>
      </w:r>
      <w:r>
        <w:t xml:space="preserve"> </w:t>
      </w:r>
    </w:p>
  </w:footnote>
  <w:footnote w:id="35">
    <w:p>
      <w:pPr>
        <w:pStyle w:val="ac"/>
      </w:pPr>
      <w:r>
        <w:rPr>
          <w:rStyle w:val="af"/>
        </w:rPr>
        <w:footnoteRef/>
      </w:r>
      <w:r>
        <w:t xml:space="preserve"> </w:t>
      </w:r>
      <w:r>
        <w:t xml:space="preserve">Cf. Spinoza:</w:t>
      </w:r>
      <w:r>
        <w:t xml:space="preserve"> </w:t>
      </w:r>
      <w:r>
        <w:t xml:space="preserve">‘Amor est titillatio concomitante idea causae externae.’</w:t>
      </w:r>
      <w:r>
        <w:rPr>
          <w:rFonts w:hint="eastAsia"/>
        </w:rPr>
        <w:t xml:space="preserve">〔「愛とは外的原因についての観念に伴って生ずる喜びである」（スピノザ『エチカ』第3部定理13の備考）〕</w:t>
      </w:r>
    </w:p>
  </w:footnote>
  <w:footnote w:id="36">
    <w:p>
      <w:pPr>
        <w:pStyle w:val="ac"/>
      </w:pPr>
      <w:r>
        <w:rPr>
          <w:rStyle w:val="af"/>
        </w:rPr>
        <w:footnoteRef/>
      </w:r>
      <w:r>
        <w:t xml:space="preserve"> </w:t>
      </w:r>
      <w:r>
        <w:t xml:space="preserve">Freud: The Ego and the </w:t>
      </w:r>
      <w:r>
        <w:rPr>
          <w:rFonts w:hint="eastAsia"/>
        </w:rPr>
        <w:t xml:space="preserve">Id〔「自我とエス」〕.</w:t>
      </w:r>
      <w:r>
        <w:t xml:space="preserve"> London: Hogarth Press, 1927, p. 36.</w:t>
      </w:r>
    </w:p>
  </w:footnote>
  <w:footnote w:id="37">
    <w:p>
      <w:pPr>
        <w:pStyle w:val="ac"/>
      </w:pPr>
      <w:r>
        <w:rPr>
          <w:rStyle w:val="af"/>
        </w:rPr>
        <w:footnoteRef/>
      </w:r>
      <w:r>
        <w:t xml:space="preserve"> </w:t>
      </w:r>
      <w:r>
        <w:t xml:space="preserve">Coll. Papers, IV, p. 81.</w:t>
      </w:r>
    </w:p>
  </w:footnote>
  <w:footnote w:id="39">
    <w:p>
      <w:pPr>
        <w:pStyle w:val="ac"/>
      </w:pPr>
      <w:r>
        <w:rPr>
          <w:rStyle w:val="af"/>
        </w:rPr>
        <w:footnoteRef/>
      </w:r>
      <w:r>
        <w:t xml:space="preserve"> </w:t>
      </w:r>
      <w:r>
        <w:t xml:space="preserve">Stärcke, August: The Castration Complex. Int. J. Psa., II, 1921, pp. 179–201. Ferenczi, Sandor: Thalassa: A Theory of Genitality. New York: Psa. Quarterly, Inc., 1938.</w:t>
      </w:r>
    </w:p>
  </w:footnote>
  <w:footnote w:id="40">
    <w:p>
      <w:pPr>
        <w:pStyle w:val="ac"/>
      </w:pPr>
      <w:r>
        <w:rPr>
          <w:rStyle w:val="af"/>
        </w:rPr>
        <w:footnoteRef/>
      </w:r>
      <w:r>
        <w:t xml:space="preserve"> </w:t>
      </w:r>
      <w:r>
        <w:t xml:space="preserve">Ferenczi, Sandor: Thalassa: A Theory of Genitality. New York: Psa. Quarterly, Inc., 1938.</w:t>
      </w:r>
    </w:p>
  </w:footnote>
  <w:footnote w:id="41">
    <w:p>
      <w:pPr>
        <w:pStyle w:val="ac"/>
      </w:pPr>
      <w:r>
        <w:rPr>
          <w:rStyle w:val="af"/>
        </w:rPr>
        <w:footnoteRef/>
      </w:r>
      <w:r>
        <w:t xml:space="preserve"> </w:t>
      </w:r>
      <w:r>
        <w:t xml:space="preserve">Cf. also Rank, Otto: The Genesis of Genitality. Psa. Rev., XIII, 1926, pp. 129–144. 21 Deutsch, Helene: Psychology of Women. Two Vols. New York: Grune &amp; Stratton, 1944 and 1945.</w:t>
      </w:r>
    </w:p>
  </w:footnote>
  <w:footnote w:id="42">
    <w:p>
      <w:pPr>
        <w:pStyle w:val="ac"/>
      </w:pPr>
      <w:r>
        <w:rPr>
          <w:rStyle w:val="af"/>
        </w:rPr>
        <w:footnoteRef/>
      </w:r>
      <w:r>
        <w:t xml:space="preserve"> </w:t>
      </w:r>
      <w:r>
        <w:t xml:space="preserve">Deutsch, Helene: Psychology of Women. Two Vols. New York: Grune &amp; Stratton, 1944 and 1945.</w:t>
      </w:r>
    </w:p>
  </w:footnote>
  <w:footnote w:id="43">
    <w:p>
      <w:pPr>
        <w:pStyle w:val="ac"/>
      </w:pPr>
      <w:r>
        <w:rPr>
          <w:rStyle w:val="af"/>
        </w:rPr>
        <w:footnoteRef/>
      </w:r>
      <w:r>
        <w:t xml:space="preserve"> </w:t>
      </w:r>
      <w:r>
        <w:t xml:space="preserve">Bergler, Edmund and Eidelberg, Ludwig: Der Mammakomplex des Mannes. Int.Ztschr. f. Psa., XIX, 1933, pp. 547–583.</w:t>
      </w:r>
    </w:p>
  </w:footnote>
  <w:footnote w:id="44">
    <w:p>
      <w:pPr>
        <w:pStyle w:val="ac"/>
      </w:pPr>
      <w:r>
        <w:rPr>
          <w:rStyle w:val="af"/>
        </w:rPr>
        <w:footnoteRef/>
      </w:r>
      <w:r>
        <w:t xml:space="preserve"> </w:t>
      </w:r>
      <w:r>
        <w:rPr>
          <w:rFonts w:hint="eastAsia"/>
        </w:rPr>
        <w:t xml:space="preserve">この論文の最初の段落を見よ。</w:t>
      </w:r>
      <w:r>
        <w:t xml:space="preserve"> </w:t>
      </w:r>
    </w:p>
  </w:footnote>
  <w:footnote w:id="47">
    <w:p>
      <w:pPr>
        <w:pStyle w:val="ac"/>
      </w:pPr>
      <w:r>
        <w:rPr>
          <w:rStyle w:val="af"/>
        </w:rPr>
        <w:footnoteRef/>
      </w:r>
      <w:r>
        <w:t xml:space="preserve"> </w:t>
      </w:r>
      <w:r>
        <w:t xml:space="preserve">Nunberg, Herman: Allgemeine Neurosenlehre auf Psychoanalytischer Grundlage. Bern: Hans Huber Verlag, 1932, p. 168.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3421" w14:textId="77777777" w:rsidR="00512189" w:rsidRDefault="00512189">
    <w:pPr>
      <w:pStyle w:val="af2"/>
      <w:spacing w:after="24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12675B0"/>
    <w:lvl w:ilvl="0">
      <w:start w:val="1"/>
      <w:numFmt w:val="decimal"/>
      <w:lvlText w:val="%1."/>
      <w:lvlJc w:val="left"/>
      <w:pPr>
        <w:tabs>
          <w:tab w:pos="2061" w:val="num"/>
        </w:tabs>
        <w:ind w:hanging="360" w:hangingChars="200" w:left="2061" w:leftChars="800"/>
      </w:pPr>
    </w:lvl>
  </w:abstractNum>
  <w:abstractNum w15:restartNumberingAfterBreak="0" w:abstractNumId="1">
    <w:nsid w:val="FFFFFF7D"/>
    <w:multiLevelType w:val="singleLevel"/>
    <w:tmpl w:val="DCC0622E"/>
    <w:lvl w:ilvl="0">
      <w:start w:val="1"/>
      <w:numFmt w:val="decimal"/>
      <w:lvlText w:val="%1."/>
      <w:lvlJc w:val="left"/>
      <w:pPr>
        <w:tabs>
          <w:tab w:pos="1636" w:val="num"/>
        </w:tabs>
        <w:ind w:hanging="360" w:hangingChars="200" w:left="1636" w:leftChars="600"/>
      </w:pPr>
    </w:lvl>
  </w:abstractNum>
  <w:abstractNum w15:restartNumberingAfterBreak="0" w:abstractNumId="2">
    <w:nsid w:val="FFFFFF7E"/>
    <w:multiLevelType w:val="singleLevel"/>
    <w:tmpl w:val="1F58B330"/>
    <w:lvl w:ilvl="0">
      <w:start w:val="1"/>
      <w:numFmt w:val="decimal"/>
      <w:lvlText w:val="%1."/>
      <w:lvlJc w:val="left"/>
      <w:pPr>
        <w:tabs>
          <w:tab w:pos="1211" w:val="num"/>
        </w:tabs>
        <w:ind w:hanging="360" w:hangingChars="200" w:left="1211" w:leftChars="400"/>
      </w:pPr>
    </w:lvl>
  </w:abstractNum>
  <w:abstractNum w15:restartNumberingAfterBreak="0" w:abstractNumId="3">
    <w:nsid w:val="FFFFFF7F"/>
    <w:multiLevelType w:val="singleLevel"/>
    <w:tmpl w:val="E94C874E"/>
    <w:lvl w:ilvl="0">
      <w:start w:val="1"/>
      <w:numFmt w:val="decimal"/>
      <w:lvlText w:val="%1."/>
      <w:lvlJc w:val="left"/>
      <w:pPr>
        <w:tabs>
          <w:tab w:pos="785" w:val="num"/>
        </w:tabs>
        <w:ind w:hanging="360" w:hangingChars="200" w:left="785" w:leftChars="200"/>
      </w:pPr>
    </w:lvl>
  </w:abstractNum>
  <w:abstractNum w15:restartNumberingAfterBreak="0" w:abstractNumId="4">
    <w:nsid w:val="FFFFFF80"/>
    <w:multiLevelType w:val="singleLevel"/>
    <w:tmpl w:val="8DEC0E00"/>
    <w:lvl w:ilvl="0">
      <w:start w:val="1"/>
      <w:numFmt w:val="bullet"/>
      <w:lvlText w:val=""/>
      <w:lvlJc w:val="left"/>
      <w:pPr>
        <w:tabs>
          <w:tab w:pos="2061" w:val="num"/>
        </w:tabs>
        <w:ind w:hanging="360" w:hangingChars="200" w:left="2061" w:leftChars="800"/>
      </w:pPr>
      <w:rPr>
        <w:rFonts w:ascii="Wingdings" w:hAnsi="Wingdings" w:hint="default"/>
      </w:rPr>
    </w:lvl>
  </w:abstractNum>
  <w:abstractNum w15:restartNumberingAfterBreak="0" w:abstractNumId="5">
    <w:nsid w:val="FFFFFF81"/>
    <w:multiLevelType w:val="singleLevel"/>
    <w:tmpl w:val="95A2F452"/>
    <w:lvl w:ilvl="0">
      <w:start w:val="1"/>
      <w:numFmt w:val="bullet"/>
      <w:lvlText w:val=""/>
      <w:lvlJc w:val="left"/>
      <w:pPr>
        <w:tabs>
          <w:tab w:pos="1636" w:val="num"/>
        </w:tabs>
        <w:ind w:hanging="360" w:hangingChars="200" w:left="1636" w:leftChars="600"/>
      </w:pPr>
      <w:rPr>
        <w:rFonts w:ascii="Wingdings" w:hAnsi="Wingdings" w:hint="default"/>
      </w:rPr>
    </w:lvl>
  </w:abstractNum>
  <w:abstractNum w15:restartNumberingAfterBreak="0" w:abstractNumId="6">
    <w:nsid w:val="FFFFFF82"/>
    <w:multiLevelType w:val="singleLevel"/>
    <w:tmpl w:val="1ABA9166"/>
    <w:lvl w:ilvl="0">
      <w:start w:val="1"/>
      <w:numFmt w:val="bullet"/>
      <w:lvlText w:val=""/>
      <w:lvlJc w:val="left"/>
      <w:pPr>
        <w:tabs>
          <w:tab w:pos="1211" w:val="num"/>
        </w:tabs>
        <w:ind w:hanging="360" w:hangingChars="200" w:left="1211" w:leftChars="400"/>
      </w:pPr>
      <w:rPr>
        <w:rFonts w:ascii="Wingdings" w:hAnsi="Wingdings" w:hint="default"/>
      </w:rPr>
    </w:lvl>
  </w:abstractNum>
  <w:abstractNum w15:restartNumberingAfterBreak="0" w:abstractNumId="7">
    <w:nsid w:val="FFFFFF83"/>
    <w:multiLevelType w:val="singleLevel"/>
    <w:tmpl w:val="8506C3E8"/>
    <w:lvl w:ilvl="0">
      <w:start w:val="1"/>
      <w:numFmt w:val="bullet"/>
      <w:lvlText w:val=""/>
      <w:lvlJc w:val="left"/>
      <w:pPr>
        <w:tabs>
          <w:tab w:pos="785" w:val="num"/>
        </w:tabs>
        <w:ind w:hanging="360" w:hangingChars="200" w:left="785" w:leftChars="200"/>
      </w:pPr>
      <w:rPr>
        <w:rFonts w:ascii="Wingdings" w:hAnsi="Wingdings" w:hint="default"/>
      </w:rPr>
    </w:lvl>
  </w:abstractNum>
  <w:abstractNum w15:restartNumberingAfterBreak="0" w:abstractNumId="8">
    <w:nsid w:val="FFFFFF88"/>
    <w:multiLevelType w:val="singleLevel"/>
    <w:tmpl w:val="51048760"/>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CED8DA9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77E898B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38D6E39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0FC525D7"/>
    <w:multiLevelType w:val="multilevel"/>
    <w:tmpl w:val="0E32E80C"/>
    <w:numStyleLink w:val="a"/>
  </w:abstractNum>
  <w:abstractNum w15:restartNumberingAfterBreak="0" w:abstractNumId="13">
    <w:nsid w:val="127D77E5"/>
    <w:multiLevelType w:val="hybridMultilevel"/>
    <w:tmpl w:val="BD5A9EC2"/>
    <w:lvl w:ilvl="0" w:tplc="0409000F">
      <w:start w:val="1"/>
      <w:numFmt w:val="decimal"/>
      <w:lvlText w:val="%1."/>
      <w:lvlJc w:val="left"/>
      <w:pPr>
        <w:ind w:hanging="420" w:left="420"/>
      </w:pPr>
    </w:lvl>
    <w:lvl w:ilvl="1" w:tentative="1" w:tplc="04090017">
      <w:start w:val="1"/>
      <w:numFmt w:val="aiueoFullWidth"/>
      <w:lvlText w:val="(%2)"/>
      <w:lvlJc w:val="left"/>
      <w:pPr>
        <w:ind w:hanging="420" w:left="840"/>
      </w:pPr>
    </w:lvl>
    <w:lvl w:ilvl="2" w:tentative="1" w:tplc="04090011">
      <w:start w:val="1"/>
      <w:numFmt w:val="decimalEnclosedCircle"/>
      <w:lvlText w:val="%3"/>
      <w:lvlJc w:val="left"/>
      <w:pPr>
        <w:ind w:hanging="420" w:left="1260"/>
      </w:pPr>
    </w:lvl>
    <w:lvl w:ilvl="3" w:tentative="1" w:tplc="0409000F">
      <w:start w:val="1"/>
      <w:numFmt w:val="decimal"/>
      <w:lvlText w:val="%4."/>
      <w:lvlJc w:val="left"/>
      <w:pPr>
        <w:ind w:hanging="420" w:left="1680"/>
      </w:pPr>
    </w:lvl>
    <w:lvl w:ilvl="4" w:tentative="1" w:tplc="04090017">
      <w:start w:val="1"/>
      <w:numFmt w:val="aiueoFullWidth"/>
      <w:lvlText w:val="(%5)"/>
      <w:lvlJc w:val="left"/>
      <w:pPr>
        <w:ind w:hanging="420" w:left="2100"/>
      </w:pPr>
    </w:lvl>
    <w:lvl w:ilvl="5" w:tentative="1" w:tplc="04090011">
      <w:start w:val="1"/>
      <w:numFmt w:val="decimalEnclosedCircle"/>
      <w:lvlText w:val="%6"/>
      <w:lvlJc w:val="left"/>
      <w:pPr>
        <w:ind w:hanging="420" w:left="2520"/>
      </w:pPr>
    </w:lvl>
    <w:lvl w:ilvl="6" w:tentative="1" w:tplc="0409000F">
      <w:start w:val="1"/>
      <w:numFmt w:val="decimal"/>
      <w:lvlText w:val="%7."/>
      <w:lvlJc w:val="left"/>
      <w:pPr>
        <w:ind w:hanging="420" w:left="2940"/>
      </w:pPr>
    </w:lvl>
    <w:lvl w:ilvl="7" w:tentative="1" w:tplc="04090017">
      <w:start w:val="1"/>
      <w:numFmt w:val="aiueoFullWidth"/>
      <w:lvlText w:val="(%8)"/>
      <w:lvlJc w:val="left"/>
      <w:pPr>
        <w:ind w:hanging="420" w:left="3360"/>
      </w:pPr>
    </w:lvl>
    <w:lvl w:ilvl="8" w:tentative="1" w:tplc="04090011">
      <w:start w:val="1"/>
      <w:numFmt w:val="decimalEnclosedCircle"/>
      <w:lvlText w:val="%9"/>
      <w:lvlJc w:val="left"/>
      <w:pPr>
        <w:ind w:hanging="420" w:left="3780"/>
      </w:pPr>
    </w:lvl>
  </w:abstractNum>
  <w:abstractNum w15:restartNumberingAfterBreak="0" w:abstractNumId="14">
    <w:nsid w:val="170CD2DE"/>
    <w:multiLevelType w:val="multilevel"/>
    <w:tmpl w:val="C65E966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5">
    <w:nsid w:val="17D156FE"/>
    <w:multiLevelType w:val="multilevel"/>
    <w:tmpl w:val="4162C71A"/>
    <w:numStyleLink w:val="a0"/>
  </w:abstractNum>
  <w:abstractNum w15:restartNumberingAfterBreak="0" w:abstractNumId="16">
    <w:nsid w:val="1FB232A8"/>
    <w:multiLevelType w:val="multilevel"/>
    <w:tmpl w:val="0E32E80C"/>
    <w:styleLink w:val="a"/>
    <w:lvl w:ilvl="0">
      <w:start w:val="1"/>
      <w:numFmt w:val="decimal"/>
      <w:lvlText w:val="%1."/>
      <w:lvlJc w:val="left"/>
      <w:pPr>
        <w:ind w:hanging="221" w:left="442"/>
      </w:pPr>
      <w:rPr>
        <w:rFonts w:hint="eastAsia"/>
      </w:rPr>
    </w:lvl>
    <w:lvl w:ilvl="1">
      <w:start w:val="1"/>
      <w:numFmt w:val="lowerRoman"/>
      <w:lvlText w:val="%2."/>
      <w:lvlJc w:val="left"/>
      <w:pPr>
        <w:ind w:hanging="222" w:left="885"/>
      </w:pPr>
      <w:rPr>
        <w:rFonts w:hint="eastAsia"/>
      </w:rPr>
    </w:lvl>
    <w:lvl w:ilvl="2">
      <w:start w:val="1"/>
      <w:numFmt w:val="lowerLetter"/>
      <w:lvlText w:val="%3."/>
      <w:lvlJc w:val="left"/>
      <w:pPr>
        <w:ind w:hanging="221" w:left="1327"/>
      </w:pPr>
      <w:rPr>
        <w:rFonts w:hint="eastAsia"/>
      </w:rPr>
    </w:lvl>
    <w:lvl w:ilvl="3">
      <w:start w:val="1"/>
      <w:numFmt w:val="lowerLetter"/>
      <w:lvlText w:val="%4."/>
      <w:lvlJc w:val="left"/>
      <w:pPr>
        <w:ind w:hanging="221" w:left="1769"/>
      </w:pPr>
      <w:rPr>
        <w:rFonts w:hint="eastAsia"/>
      </w:rPr>
    </w:lvl>
    <w:lvl w:ilvl="4">
      <w:start w:val="1"/>
      <w:numFmt w:val="lowerLetter"/>
      <w:lvlText w:val="%5."/>
      <w:lvlJc w:val="left"/>
      <w:pPr>
        <w:ind w:hanging="221" w:left="2211"/>
      </w:pPr>
      <w:rPr>
        <w:rFonts w:hint="eastAsia"/>
      </w:rPr>
    </w:lvl>
    <w:lvl w:ilvl="5">
      <w:start w:val="1"/>
      <w:numFmt w:val="lowerLetter"/>
      <w:lvlText w:val="%6."/>
      <w:lvlJc w:val="left"/>
      <w:pPr>
        <w:ind w:hanging="222" w:left="2654"/>
      </w:pPr>
      <w:rPr>
        <w:rFonts w:hint="eastAsia"/>
      </w:rPr>
    </w:lvl>
    <w:lvl w:ilvl="6">
      <w:start w:val="1"/>
      <w:numFmt w:val="lowerLetter"/>
      <w:lvlText w:val="%7."/>
      <w:lvlJc w:val="left"/>
      <w:pPr>
        <w:ind w:hanging="221" w:left="3096"/>
      </w:pPr>
      <w:rPr>
        <w:rFonts w:hint="eastAsia"/>
      </w:rPr>
    </w:lvl>
    <w:lvl w:ilvl="7">
      <w:start w:val="1"/>
      <w:numFmt w:val="lowerLetter"/>
      <w:lvlText w:val="%8."/>
      <w:lvlJc w:val="left"/>
      <w:pPr>
        <w:ind w:firstLine="29232" w:left="3538"/>
      </w:pPr>
      <w:rPr>
        <w:rFonts w:hint="eastAsia"/>
      </w:rPr>
    </w:lvl>
    <w:lvl w:ilvl="8">
      <w:start w:val="1"/>
      <w:numFmt w:val="lowerLetter"/>
      <w:lvlText w:val="%9."/>
      <w:lvlJc w:val="left"/>
      <w:pPr>
        <w:ind w:hanging="221" w:left="3980"/>
      </w:pPr>
      <w:rPr>
        <w:rFonts w:hint="eastAsia"/>
      </w:rPr>
    </w:lvl>
  </w:abstractNum>
  <w:abstractNum w15:restartNumberingAfterBreak="0" w:abstractNumId="17">
    <w:nsid w:val="2477334A"/>
    <w:multiLevelType w:val="hybridMultilevel"/>
    <w:tmpl w:val="C6309F70"/>
    <w:lvl w:ilvl="0" w:tplc="ED1E1912">
      <w:numFmt w:val="bullet"/>
      <w:lvlText w:val="-"/>
      <w:lvlJc w:val="left"/>
      <w:pPr>
        <w:ind w:hanging="360" w:left="360"/>
      </w:pPr>
      <w:rPr>
        <w:rFonts w:ascii="Times New Roman" w:cs="Times New Roman" w:eastAsiaTheme="minorEastAsia" w:hAnsi="Times New Roman" w:hint="default"/>
      </w:rPr>
    </w:lvl>
    <w:lvl w:ilvl="1" w:tentative="1" w:tplc="4B5680B8">
      <w:start w:val="1"/>
      <w:numFmt w:val="bullet"/>
      <w:lvlText w:val=""/>
      <w:lvlJc w:val="left"/>
      <w:pPr>
        <w:ind w:hanging="420" w:left="840"/>
      </w:pPr>
      <w:rPr>
        <w:rFonts w:ascii="Wingdings" w:hAnsi="Wingdings" w:hint="default"/>
      </w:rPr>
    </w:lvl>
    <w:lvl w:ilvl="2" w:tentative="1" w:tplc="906030E0">
      <w:start w:val="1"/>
      <w:numFmt w:val="bullet"/>
      <w:lvlText w:val=""/>
      <w:lvlJc w:val="left"/>
      <w:pPr>
        <w:ind w:hanging="420" w:left="1260"/>
      </w:pPr>
      <w:rPr>
        <w:rFonts w:ascii="Wingdings" w:hAnsi="Wingdings" w:hint="default"/>
      </w:rPr>
    </w:lvl>
    <w:lvl w:ilvl="3" w:tentative="1" w:tplc="4860E914">
      <w:start w:val="1"/>
      <w:numFmt w:val="bullet"/>
      <w:lvlText w:val=""/>
      <w:lvlJc w:val="left"/>
      <w:pPr>
        <w:ind w:hanging="420" w:left="1680"/>
      </w:pPr>
      <w:rPr>
        <w:rFonts w:ascii="Wingdings" w:hAnsi="Wingdings" w:hint="default"/>
      </w:rPr>
    </w:lvl>
    <w:lvl w:ilvl="4" w:tentative="1" w:tplc="3146A6CC">
      <w:start w:val="1"/>
      <w:numFmt w:val="bullet"/>
      <w:lvlText w:val=""/>
      <w:lvlJc w:val="left"/>
      <w:pPr>
        <w:ind w:hanging="420" w:left="2100"/>
      </w:pPr>
      <w:rPr>
        <w:rFonts w:ascii="Wingdings" w:hAnsi="Wingdings" w:hint="default"/>
      </w:rPr>
    </w:lvl>
    <w:lvl w:ilvl="5" w:tentative="1" w:tplc="7870BB76">
      <w:start w:val="1"/>
      <w:numFmt w:val="bullet"/>
      <w:lvlText w:val=""/>
      <w:lvlJc w:val="left"/>
      <w:pPr>
        <w:ind w:hanging="420" w:left="2520"/>
      </w:pPr>
      <w:rPr>
        <w:rFonts w:ascii="Wingdings" w:hAnsi="Wingdings" w:hint="default"/>
      </w:rPr>
    </w:lvl>
    <w:lvl w:ilvl="6" w:tentative="1" w:tplc="450679CE">
      <w:start w:val="1"/>
      <w:numFmt w:val="bullet"/>
      <w:lvlText w:val=""/>
      <w:lvlJc w:val="left"/>
      <w:pPr>
        <w:ind w:hanging="420" w:left="2940"/>
      </w:pPr>
      <w:rPr>
        <w:rFonts w:ascii="Wingdings" w:hAnsi="Wingdings" w:hint="default"/>
      </w:rPr>
    </w:lvl>
    <w:lvl w:ilvl="7" w:tentative="1" w:tplc="746E0390">
      <w:start w:val="1"/>
      <w:numFmt w:val="bullet"/>
      <w:lvlText w:val=""/>
      <w:lvlJc w:val="left"/>
      <w:pPr>
        <w:ind w:hanging="420" w:left="3360"/>
      </w:pPr>
      <w:rPr>
        <w:rFonts w:ascii="Wingdings" w:hAnsi="Wingdings" w:hint="default"/>
      </w:rPr>
    </w:lvl>
    <w:lvl w:ilvl="8" w:tentative="1" w:tplc="14FA17C0">
      <w:start w:val="1"/>
      <w:numFmt w:val="bullet"/>
      <w:lvlText w:val=""/>
      <w:lvlJc w:val="left"/>
      <w:pPr>
        <w:ind w:hanging="420" w:left="3780"/>
      </w:pPr>
      <w:rPr>
        <w:rFonts w:ascii="Wingdings" w:hAnsi="Wingdings" w:hint="default"/>
      </w:rPr>
    </w:lvl>
  </w:abstractNum>
  <w:abstractNum w15:restartNumberingAfterBreak="0" w:abstractNumId="18">
    <w:nsid w:val="2C1AE401"/>
    <w:multiLevelType w:val="multilevel"/>
    <w:tmpl w:val="21168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9">
    <w:nsid w:val="2FBC68B6"/>
    <w:multiLevelType w:val="multilevel"/>
    <w:tmpl w:val="4162C71A"/>
    <w:styleLink w:val="a0"/>
    <w:lvl w:ilvl="0">
      <w:numFmt w:val="bullet"/>
      <w:lvlText w:val="•"/>
      <w:lvlJc w:val="left"/>
      <w:pPr>
        <w:ind w:hanging="221" w:left="442"/>
      </w:pPr>
      <w:rPr>
        <w:rFonts w:ascii="Times New Roman" w:cs="Times New Roman" w:hAnsi="Times New Roman" w:hint="default"/>
      </w:rPr>
    </w:lvl>
    <w:lvl w:ilvl="1">
      <w:numFmt w:val="bullet"/>
      <w:lvlText w:val="⸰"/>
      <w:lvlJc w:val="left"/>
      <w:pPr>
        <w:ind w:hanging="222" w:left="885"/>
      </w:pPr>
      <w:rPr>
        <w:rFonts w:ascii="Times New Roman" w:cs="Times New Roman" w:hAnsi="Times New Roman" w:hint="default"/>
      </w:rPr>
    </w:lvl>
    <w:lvl w:ilvl="2">
      <w:numFmt w:val="bullet"/>
      <w:lvlText w:val="▪"/>
      <w:lvlJc w:val="left"/>
      <w:pPr>
        <w:ind w:hanging="221" w:left="1327"/>
      </w:pPr>
      <w:rPr>
        <w:rFonts w:ascii="Times New Roman" w:cs="Times New Roman" w:hAnsi="Times New Roman" w:hint="default"/>
      </w:rPr>
    </w:lvl>
    <w:lvl w:ilvl="3">
      <w:numFmt w:val="bullet"/>
      <w:lvlText w:val="▪"/>
      <w:lvlJc w:val="left"/>
      <w:pPr>
        <w:ind w:hanging="221" w:left="1769"/>
      </w:pPr>
      <w:rPr>
        <w:rFonts w:ascii="Times New Roman" w:cs="Times New Roman" w:hAnsi="Times New Roman" w:hint="default"/>
      </w:rPr>
    </w:lvl>
    <w:lvl w:ilvl="4">
      <w:numFmt w:val="bullet"/>
      <w:lvlText w:val="▪"/>
      <w:lvlJc w:val="left"/>
      <w:pPr>
        <w:ind w:hanging="221" w:left="2211"/>
      </w:pPr>
      <w:rPr>
        <w:rFonts w:ascii="Times New Roman" w:cs="Times New Roman" w:hAnsi="Times New Roman" w:hint="default"/>
      </w:rPr>
    </w:lvl>
    <w:lvl w:ilvl="5">
      <w:numFmt w:val="bullet"/>
      <w:lvlText w:val="▪"/>
      <w:lvlJc w:val="left"/>
      <w:pPr>
        <w:ind w:hanging="222" w:left="2654"/>
      </w:pPr>
      <w:rPr>
        <w:rFonts w:ascii="Times New Roman" w:cs="Times New Roman" w:hAnsi="Times New Roman" w:hint="default"/>
      </w:rPr>
    </w:lvl>
    <w:lvl w:ilvl="6">
      <w:numFmt w:val="bullet"/>
      <w:lvlText w:val="▪"/>
      <w:lvlJc w:val="left"/>
      <w:pPr>
        <w:ind w:hanging="221" w:left="3096"/>
      </w:pPr>
      <w:rPr>
        <w:rFonts w:ascii="Times New Roman" w:cs="Times New Roman" w:hAnsi="Times New Roman" w:hint="default"/>
      </w:rPr>
    </w:lvl>
    <w:lvl w:ilvl="7">
      <w:numFmt w:val="bullet"/>
      <w:lvlText w:val="▪"/>
      <w:lvlJc w:val="left"/>
      <w:pPr>
        <w:ind w:hanging="221" w:left="3538"/>
      </w:pPr>
      <w:rPr>
        <w:rFonts w:ascii="Times New Roman" w:cs="Times New Roman" w:hAnsi="Times New Roman" w:hint="default"/>
      </w:rPr>
    </w:lvl>
    <w:lvl w:ilvl="8">
      <w:numFmt w:val="bullet"/>
      <w:lvlText w:val="▪"/>
      <w:lvlJc w:val="left"/>
      <w:pPr>
        <w:ind w:hanging="221" w:left="3980"/>
      </w:pPr>
      <w:rPr>
        <w:rFonts w:ascii="Times New Roman" w:cs="Times New Roman" w:hAnsi="Times New Roman" w:hint="default"/>
      </w:rPr>
    </w:lvl>
  </w:abstractNum>
  <w:abstractNum w15:restartNumberingAfterBreak="0" w:abstractNumId="20">
    <w:nsid w:val="316817A0"/>
    <w:multiLevelType w:val="hybridMultilevel"/>
    <w:tmpl w:val="46CAFED0"/>
    <w:lvl w:ilvl="0" w:tplc="9E8E5F5A">
      <w:numFmt w:val="bullet"/>
      <w:lvlText w:val="-"/>
      <w:lvlJc w:val="left"/>
      <w:pPr>
        <w:ind w:hanging="360" w:left="360"/>
      </w:pPr>
      <w:rPr>
        <w:rFonts w:ascii="Times New Roman" w:cs="Times New Roman" w:eastAsiaTheme="minorEastAsia" w:hAnsi="Times New Roman" w:hint="default"/>
      </w:rPr>
    </w:lvl>
    <w:lvl w:ilvl="1" w:tentative="1" w:tplc="9E4C5E3C">
      <w:start w:val="1"/>
      <w:numFmt w:val="bullet"/>
      <w:lvlText w:val=""/>
      <w:lvlJc w:val="left"/>
      <w:pPr>
        <w:ind w:hanging="420" w:left="840"/>
      </w:pPr>
      <w:rPr>
        <w:rFonts w:ascii="Wingdings" w:hAnsi="Wingdings" w:hint="default"/>
      </w:rPr>
    </w:lvl>
    <w:lvl w:ilvl="2" w:tentative="1" w:tplc="A2A28988">
      <w:start w:val="1"/>
      <w:numFmt w:val="bullet"/>
      <w:lvlText w:val=""/>
      <w:lvlJc w:val="left"/>
      <w:pPr>
        <w:ind w:hanging="420" w:left="1260"/>
      </w:pPr>
      <w:rPr>
        <w:rFonts w:ascii="Wingdings" w:hAnsi="Wingdings" w:hint="default"/>
      </w:rPr>
    </w:lvl>
    <w:lvl w:ilvl="3" w:tentative="1" w:tplc="8948FFB4">
      <w:start w:val="1"/>
      <w:numFmt w:val="bullet"/>
      <w:lvlText w:val=""/>
      <w:lvlJc w:val="left"/>
      <w:pPr>
        <w:ind w:hanging="420" w:left="1680"/>
      </w:pPr>
      <w:rPr>
        <w:rFonts w:ascii="Wingdings" w:hAnsi="Wingdings" w:hint="default"/>
      </w:rPr>
    </w:lvl>
    <w:lvl w:ilvl="4" w:tentative="1" w:tplc="45182216">
      <w:start w:val="1"/>
      <w:numFmt w:val="bullet"/>
      <w:lvlText w:val=""/>
      <w:lvlJc w:val="left"/>
      <w:pPr>
        <w:ind w:hanging="420" w:left="2100"/>
      </w:pPr>
      <w:rPr>
        <w:rFonts w:ascii="Wingdings" w:hAnsi="Wingdings" w:hint="default"/>
      </w:rPr>
    </w:lvl>
    <w:lvl w:ilvl="5" w:tentative="1" w:tplc="323440BE">
      <w:start w:val="1"/>
      <w:numFmt w:val="bullet"/>
      <w:lvlText w:val=""/>
      <w:lvlJc w:val="left"/>
      <w:pPr>
        <w:ind w:hanging="420" w:left="2520"/>
      </w:pPr>
      <w:rPr>
        <w:rFonts w:ascii="Wingdings" w:hAnsi="Wingdings" w:hint="default"/>
      </w:rPr>
    </w:lvl>
    <w:lvl w:ilvl="6" w:tentative="1" w:tplc="084ED80E">
      <w:start w:val="1"/>
      <w:numFmt w:val="bullet"/>
      <w:lvlText w:val=""/>
      <w:lvlJc w:val="left"/>
      <w:pPr>
        <w:ind w:hanging="420" w:left="2940"/>
      </w:pPr>
      <w:rPr>
        <w:rFonts w:ascii="Wingdings" w:hAnsi="Wingdings" w:hint="default"/>
      </w:rPr>
    </w:lvl>
    <w:lvl w:ilvl="7" w:tentative="1" w:tplc="31B670D2">
      <w:start w:val="1"/>
      <w:numFmt w:val="bullet"/>
      <w:lvlText w:val=""/>
      <w:lvlJc w:val="left"/>
      <w:pPr>
        <w:ind w:hanging="420" w:left="3360"/>
      </w:pPr>
      <w:rPr>
        <w:rFonts w:ascii="Wingdings" w:hAnsi="Wingdings" w:hint="default"/>
      </w:rPr>
    </w:lvl>
    <w:lvl w:ilvl="8" w:tentative="1" w:tplc="C9E4E288">
      <w:start w:val="1"/>
      <w:numFmt w:val="bullet"/>
      <w:lvlText w:val=""/>
      <w:lvlJc w:val="left"/>
      <w:pPr>
        <w:ind w:hanging="420" w:left="3780"/>
      </w:pPr>
      <w:rPr>
        <w:rFonts w:ascii="Wingdings" w:hAnsi="Wingdings" w:hint="default"/>
      </w:rPr>
    </w:lvl>
  </w:abstractNum>
  <w:abstractNum w15:restartNumberingAfterBreak="0" w:abstractNumId="21">
    <w:nsid w:val="3BB37C83"/>
    <w:multiLevelType w:val="multilevel"/>
    <w:tmpl w:val="EC005306"/>
    <w:lvl w:ilvl="0">
      <w:start w:val="1"/>
      <w:numFmt w:val="decimal"/>
      <w:lvlText w:val="%1."/>
      <w:lvlJc w:val="left"/>
      <w:pPr>
        <w:ind w:hanging="221" w:left="442"/>
      </w:pPr>
      <w:rPr>
        <w:rFonts w:hint="eastAsia"/>
      </w:rPr>
    </w:lvl>
    <w:lvl w:ilvl="1">
      <w:start w:val="1"/>
      <w:numFmt w:val="aiueoFullWidth"/>
      <w:lvlText w:val="(%2)"/>
      <w:lvlJc w:val="left"/>
      <w:pPr>
        <w:ind w:hanging="420" w:left="840"/>
      </w:pPr>
      <w:rPr>
        <w:rFonts w:hint="eastAsia"/>
      </w:rPr>
    </w:lvl>
    <w:lvl w:ilvl="2">
      <w:start w:val="1"/>
      <w:numFmt w:val="decimalEnclosedCircle"/>
      <w:lvlText w:val="%3"/>
      <w:lvlJc w:val="left"/>
      <w:pPr>
        <w:ind w:hanging="420" w:left="1260"/>
      </w:pPr>
      <w:rPr>
        <w:rFonts w:hint="eastAsia"/>
      </w:rPr>
    </w:lvl>
    <w:lvl w:ilvl="3">
      <w:start w:val="1"/>
      <w:numFmt w:val="decimal"/>
      <w:lvlText w:val="%4."/>
      <w:lvlJc w:val="left"/>
      <w:pPr>
        <w:ind w:hanging="420" w:left="1680"/>
      </w:pPr>
      <w:rPr>
        <w:rFonts w:hint="eastAsia"/>
      </w:rPr>
    </w:lvl>
    <w:lvl w:ilvl="4">
      <w:start w:val="1"/>
      <w:numFmt w:val="aiueoFullWidth"/>
      <w:lvlText w:val="(%5)"/>
      <w:lvlJc w:val="left"/>
      <w:pPr>
        <w:ind w:hanging="420" w:left="2100"/>
      </w:pPr>
      <w:rPr>
        <w:rFonts w:hint="eastAsia"/>
      </w:rPr>
    </w:lvl>
    <w:lvl w:ilvl="5">
      <w:start w:val="1"/>
      <w:numFmt w:val="decimalEnclosedCircle"/>
      <w:lvlText w:val="%6"/>
      <w:lvlJc w:val="left"/>
      <w:pPr>
        <w:ind w:hanging="420" w:left="2520"/>
      </w:pPr>
      <w:rPr>
        <w:rFonts w:hint="eastAsia"/>
      </w:rPr>
    </w:lvl>
    <w:lvl w:ilvl="6">
      <w:start w:val="1"/>
      <w:numFmt w:val="decimal"/>
      <w:lvlText w:val="%7."/>
      <w:lvlJc w:val="left"/>
      <w:pPr>
        <w:ind w:hanging="420" w:left="2940"/>
      </w:pPr>
      <w:rPr>
        <w:rFonts w:hint="eastAsia"/>
      </w:rPr>
    </w:lvl>
    <w:lvl w:ilvl="7">
      <w:start w:val="1"/>
      <w:numFmt w:val="aiueoFullWidth"/>
      <w:lvlText w:val="(%8)"/>
      <w:lvlJc w:val="left"/>
      <w:pPr>
        <w:ind w:hanging="420" w:left="3360"/>
      </w:pPr>
      <w:rPr>
        <w:rFonts w:hint="eastAsia"/>
      </w:rPr>
    </w:lvl>
    <w:lvl w:ilvl="8">
      <w:start w:val="1"/>
      <w:numFmt w:val="decimalEnclosedCircle"/>
      <w:lvlText w:val="%9"/>
      <w:lvlJc w:val="left"/>
      <w:pPr>
        <w:ind w:hanging="420" w:left="3780"/>
      </w:pPr>
      <w:rPr>
        <w:rFonts w:hint="eastAsia"/>
      </w:rPr>
    </w:lvl>
  </w:abstractNum>
  <w:abstractNum w15:restartNumberingAfterBreak="0" w:abstractNumId="22">
    <w:nsid w:val="4C150FF2"/>
    <w:multiLevelType w:val="multilevel"/>
    <w:tmpl w:val="4162C71A"/>
    <w:numStyleLink w:val="a0"/>
  </w:abstractNum>
  <w:abstractNum w15:restartNumberingAfterBreak="0" w:abstractNumId="23">
    <w:nsid w:val="4C8F5164"/>
    <w:multiLevelType w:val="multilevel"/>
    <w:tmpl w:val="4162C71A"/>
    <w:numStyleLink w:val="a0"/>
  </w:abstractNum>
  <w:abstractNum w15:restartNumberingAfterBreak="0" w:abstractNumId="24">
    <w:nsid w:val="51B72D7A"/>
    <w:multiLevelType w:val="multilevel"/>
    <w:tmpl w:val="0E32E80C"/>
    <w:numStyleLink w:val="a"/>
  </w:abstractNum>
  <w:abstractNum w15:restartNumberingAfterBreak="0" w:abstractNumId="25">
    <w:nsid w:val="566D5920"/>
    <w:multiLevelType w:val="multilevel"/>
    <w:tmpl w:val="4162C71A"/>
    <w:numStyleLink w:val="a0"/>
  </w:abstractNum>
  <w:abstractNum w15:restartNumberingAfterBreak="0" w:abstractNumId="26">
    <w:nsid w:val="5B1871CD"/>
    <w:multiLevelType w:val="multilevel"/>
    <w:tmpl w:val="4162C71A"/>
    <w:numStyleLink w:val="a0"/>
  </w:abstractNum>
  <w:abstractNum w15:restartNumberingAfterBreak="0" w:abstractNumId="27">
    <w:nsid w:val="5FEE779A"/>
    <w:multiLevelType w:val="multilevel"/>
    <w:tmpl w:val="0E32E80C"/>
    <w:numStyleLink w:val="a"/>
  </w:abstractNum>
  <w:abstractNum w15:restartNumberingAfterBreak="0" w:abstractNumId="28">
    <w:nsid w:val="6BE877E1"/>
    <w:multiLevelType w:val="multilevel"/>
    <w:tmpl w:val="4162C71A"/>
    <w:numStyleLink w:val="a0"/>
  </w:abstractNum>
  <w:abstractNum w15:restartNumberingAfterBreak="0" w:abstractNumId="29">
    <w:nsid w:val="6C460178"/>
    <w:multiLevelType w:val="multilevel"/>
    <w:tmpl w:val="4162C71A"/>
    <w:numStyleLink w:val="a0"/>
  </w:abstractNum>
  <w:abstractNum w15:restartNumberingAfterBreak="0" w:abstractNumId="30">
    <w:nsid w:val="6DC5619C"/>
    <w:multiLevelType w:val="multilevel"/>
    <w:tmpl w:val="4162C71A"/>
    <w:numStyleLink w:val="a0"/>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72589645" w:numId="1">
    <w:abstractNumId w:val="18"/>
  </w:num>
  <w:num w16cid:durableId="1519194488" w:numId="2">
    <w:abstractNumId w:val="18"/>
  </w:num>
  <w:num w16cid:durableId="150488213" w:numId="3">
    <w:abstractNumId w:val="9"/>
  </w:num>
  <w:num w16cid:durableId="847870380" w:numId="4">
    <w:abstractNumId w:val="7"/>
  </w:num>
  <w:num w16cid:durableId="1119492410" w:numId="5">
    <w:abstractNumId w:val="6"/>
  </w:num>
  <w:num w16cid:durableId="2051951906" w:numId="6">
    <w:abstractNumId w:val="5"/>
  </w:num>
  <w:num w16cid:durableId="187378306" w:numId="7">
    <w:abstractNumId w:val="4"/>
  </w:num>
  <w:num w16cid:durableId="1655644464" w:numId="8">
    <w:abstractNumId w:val="8"/>
  </w:num>
  <w:num w16cid:durableId="873465991" w:numId="9">
    <w:abstractNumId w:val="3"/>
  </w:num>
  <w:num w16cid:durableId="245964761" w:numId="10">
    <w:abstractNumId w:val="2"/>
  </w:num>
  <w:num w16cid:durableId="828524583" w:numId="11">
    <w:abstractNumId w:val="1"/>
  </w:num>
  <w:num w16cid:durableId="1197886900" w:numId="12">
    <w:abstractNumId w:val="0"/>
  </w:num>
  <w:num w16cid:durableId="1951934094" w:numId="13">
    <w:abstractNumId w:val="20"/>
  </w:num>
  <w:num w16cid:durableId="786701800" w:numId="14">
    <w:abstractNumId w:val="17"/>
  </w:num>
  <w:num w16cid:durableId="1177646680" w:numId="15">
    <w:abstractNumId w:val="25"/>
  </w:num>
  <w:num w16cid:durableId="589124354" w:numId="16">
    <w:abstractNumId w:val="19"/>
  </w:num>
  <w:num w16cid:durableId="784547323" w:numId="17">
    <w:abstractNumId w:val="26"/>
  </w:num>
  <w:num w16cid:durableId="506797043" w:numId="18">
    <w:abstractNumId w:val="28"/>
  </w:num>
  <w:num w16cid:durableId="821896182" w:numId="19">
    <w:abstractNumId w:val="15"/>
  </w:num>
  <w:num w16cid:durableId="1558276912" w:numId="20">
    <w:abstractNumId w:val="30"/>
  </w:num>
  <w:num w16cid:durableId="1708989663" w:numId="21">
    <w:abstractNumId w:val="22"/>
  </w:num>
  <w:num w16cid:durableId="1681856712" w:numId="22">
    <w:abstractNumId w:val="23"/>
  </w:num>
  <w:num w16cid:durableId="1894122261" w:numId="23">
    <w:abstractNumId w:val="29"/>
  </w:num>
  <w:num w16cid:durableId="1059324009" w:numId="24">
    <w:abstractNumId w:val="13"/>
  </w:num>
  <w:num w16cid:durableId="1828478166" w:numId="25">
    <w:abstractNumId w:val="24"/>
  </w:num>
  <w:num w16cid:durableId="1909000890" w:numId="26">
    <w:abstractNumId w:val="21"/>
  </w:num>
  <w:num w16cid:durableId="683023052" w:numId="27">
    <w:abstractNumId w:val="16"/>
  </w:num>
  <w:num w16cid:durableId="1465123550" w:numId="28">
    <w:abstractNumId w:val="12"/>
  </w:num>
  <w:num w16cid:durableId="1878277325" w:numId="29">
    <w:abstractNumId w:val="27"/>
  </w:num>
  <w:num w16cid:durableId="136073277" w:numId="30">
    <w:abstractNumId w:val="10"/>
  </w:num>
  <w:num w16cid:durableId="563829922" w:numId="31">
    <w:abstractNumId w:val="11"/>
  </w:num>
  <w:num w16cid:durableId="725615727" w:numId="32">
    <w:abstractNumId w:val="11"/>
  </w:num>
  <w:num w16cid:durableId="1432899342" w:numId="33">
    <w:abstractNumId w:val="11"/>
  </w:num>
  <w:num w16cid:durableId="733696823" w:numId="34">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12"/>
  <w:drawingGridVerticalSpacing w:val="199"/>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2"/>
    <w:compatSetting w:name="useWord2013TrackBottomHyphenation" w:uri="http://schemas.microsoft.com/office/word" w:val="1"/>
  </w:compat>
  <w:rsids>
    <w:rsidRoot w:val="00590D07"/>
    <w:rsid w:val="00011C8B"/>
    <w:rsid w:val="00030D78"/>
    <w:rsid w:val="00033F66"/>
    <w:rsid w:val="00035F23"/>
    <w:rsid w:val="000368D8"/>
    <w:rsid w:val="00043A70"/>
    <w:rsid w:val="00053FEB"/>
    <w:rsid w:val="000C75B9"/>
    <w:rsid w:val="000D7956"/>
    <w:rsid w:val="000F09B1"/>
    <w:rsid w:val="0017057D"/>
    <w:rsid w:val="0019158B"/>
    <w:rsid w:val="00195B94"/>
    <w:rsid w:val="001E3648"/>
    <w:rsid w:val="002029D3"/>
    <w:rsid w:val="0022277F"/>
    <w:rsid w:val="002839DF"/>
    <w:rsid w:val="00285BA8"/>
    <w:rsid w:val="002C60EE"/>
    <w:rsid w:val="002D56CB"/>
    <w:rsid w:val="002E18CE"/>
    <w:rsid w:val="002F38E8"/>
    <w:rsid w:val="00306E5D"/>
    <w:rsid w:val="003149EA"/>
    <w:rsid w:val="00323AB5"/>
    <w:rsid w:val="00362EB6"/>
    <w:rsid w:val="003722AE"/>
    <w:rsid w:val="003936C7"/>
    <w:rsid w:val="003E5A54"/>
    <w:rsid w:val="00426153"/>
    <w:rsid w:val="00446631"/>
    <w:rsid w:val="0045440B"/>
    <w:rsid w:val="00483BC2"/>
    <w:rsid w:val="00485CEC"/>
    <w:rsid w:val="00497E97"/>
    <w:rsid w:val="004A3799"/>
    <w:rsid w:val="004A61EF"/>
    <w:rsid w:val="004B28CD"/>
    <w:rsid w:val="004D441E"/>
    <w:rsid w:val="004E29B3"/>
    <w:rsid w:val="004F013D"/>
    <w:rsid w:val="00503FF0"/>
    <w:rsid w:val="00512189"/>
    <w:rsid w:val="0051356F"/>
    <w:rsid w:val="00523038"/>
    <w:rsid w:val="00523254"/>
    <w:rsid w:val="00533DD5"/>
    <w:rsid w:val="00546E49"/>
    <w:rsid w:val="00555AF1"/>
    <w:rsid w:val="00561BE5"/>
    <w:rsid w:val="00573729"/>
    <w:rsid w:val="005752ED"/>
    <w:rsid w:val="00590D07"/>
    <w:rsid w:val="00595CB9"/>
    <w:rsid w:val="00595DD7"/>
    <w:rsid w:val="005A7E2C"/>
    <w:rsid w:val="005B1CC4"/>
    <w:rsid w:val="005D189E"/>
    <w:rsid w:val="005E005E"/>
    <w:rsid w:val="005E1C25"/>
    <w:rsid w:val="005E3AFD"/>
    <w:rsid w:val="00610ED9"/>
    <w:rsid w:val="00625373"/>
    <w:rsid w:val="00626FF9"/>
    <w:rsid w:val="0063748B"/>
    <w:rsid w:val="00645D23"/>
    <w:rsid w:val="00652469"/>
    <w:rsid w:val="006552FA"/>
    <w:rsid w:val="00672155"/>
    <w:rsid w:val="00672BBB"/>
    <w:rsid w:val="00685D1E"/>
    <w:rsid w:val="006929FB"/>
    <w:rsid w:val="00694553"/>
    <w:rsid w:val="006D03CF"/>
    <w:rsid w:val="006F014A"/>
    <w:rsid w:val="006F616E"/>
    <w:rsid w:val="00703D74"/>
    <w:rsid w:val="00713185"/>
    <w:rsid w:val="007279D0"/>
    <w:rsid w:val="0073543F"/>
    <w:rsid w:val="00737936"/>
    <w:rsid w:val="0074422F"/>
    <w:rsid w:val="00745B9D"/>
    <w:rsid w:val="0076197D"/>
    <w:rsid w:val="00772712"/>
    <w:rsid w:val="00773584"/>
    <w:rsid w:val="007750BD"/>
    <w:rsid w:val="00784D58"/>
    <w:rsid w:val="007D63FD"/>
    <w:rsid w:val="007F0FE8"/>
    <w:rsid w:val="00844D35"/>
    <w:rsid w:val="00853427"/>
    <w:rsid w:val="00856EDF"/>
    <w:rsid w:val="00857DA1"/>
    <w:rsid w:val="008B4043"/>
    <w:rsid w:val="008B4AFC"/>
    <w:rsid w:val="008B4EC7"/>
    <w:rsid w:val="008C50F4"/>
    <w:rsid w:val="008D6863"/>
    <w:rsid w:val="008E7B4B"/>
    <w:rsid w:val="00934660"/>
    <w:rsid w:val="00950884"/>
    <w:rsid w:val="00975A24"/>
    <w:rsid w:val="0098432F"/>
    <w:rsid w:val="009945C6"/>
    <w:rsid w:val="009D68AD"/>
    <w:rsid w:val="009E6990"/>
    <w:rsid w:val="009F46E1"/>
    <w:rsid w:val="00A10E3D"/>
    <w:rsid w:val="00A16E89"/>
    <w:rsid w:val="00A23C13"/>
    <w:rsid w:val="00A35093"/>
    <w:rsid w:val="00A52915"/>
    <w:rsid w:val="00A659CD"/>
    <w:rsid w:val="00A7402D"/>
    <w:rsid w:val="00A744FC"/>
    <w:rsid w:val="00A7773B"/>
    <w:rsid w:val="00A9134A"/>
    <w:rsid w:val="00A96FBB"/>
    <w:rsid w:val="00AA09BF"/>
    <w:rsid w:val="00AA204A"/>
    <w:rsid w:val="00AA331B"/>
    <w:rsid w:val="00AE0DB0"/>
    <w:rsid w:val="00B1027D"/>
    <w:rsid w:val="00B5535C"/>
    <w:rsid w:val="00B63DE1"/>
    <w:rsid w:val="00B86B75"/>
    <w:rsid w:val="00BA33EE"/>
    <w:rsid w:val="00BB198C"/>
    <w:rsid w:val="00BB7E2A"/>
    <w:rsid w:val="00BC48D5"/>
    <w:rsid w:val="00C36279"/>
    <w:rsid w:val="00CA05BC"/>
    <w:rsid w:val="00CB1EA1"/>
    <w:rsid w:val="00CC3467"/>
    <w:rsid w:val="00CE4E08"/>
    <w:rsid w:val="00D10225"/>
    <w:rsid w:val="00D131BE"/>
    <w:rsid w:val="00D14A0C"/>
    <w:rsid w:val="00D27F72"/>
    <w:rsid w:val="00D409F3"/>
    <w:rsid w:val="00D916C4"/>
    <w:rsid w:val="00DC19BB"/>
    <w:rsid w:val="00DD07AD"/>
    <w:rsid w:val="00DD4859"/>
    <w:rsid w:val="00E21E1B"/>
    <w:rsid w:val="00E315A3"/>
    <w:rsid w:val="00E54734"/>
    <w:rsid w:val="00E726F5"/>
    <w:rsid w:val="00E75ABF"/>
    <w:rsid w:val="00EC361C"/>
    <w:rsid w:val="00ED436E"/>
    <w:rsid w:val="00ED6B54"/>
    <w:rsid w:val="00F2027A"/>
    <w:rsid w:val="00F472DD"/>
    <w:rsid w:val="00F60959"/>
    <w:rsid w:val="00F6638F"/>
    <w:rsid w:val="00F769C8"/>
    <w:rsid w:val="00F95288"/>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DD07AD"/>
    <w:pPr>
      <w:spacing w:after="0" w:line="398" w:lineRule="exact"/>
    </w:pPr>
    <w:rPr>
      <w:sz w:val="22"/>
    </w:rPr>
  </w:style>
  <w:style w:styleId="1" w:type="paragraph">
    <w:name w:val="heading 1"/>
    <w:basedOn w:val="a1"/>
    <w:next w:val="a2"/>
    <w:uiPriority w:val="9"/>
    <w:qFormat/>
    <w:rsid w:val="00D409F3"/>
    <w:pPr>
      <w:keepNext/>
      <w:keepLines/>
      <w:spacing w:after="100" w:afterLines="100" w:before="150" w:beforeLines="150" w:line="560" w:lineRule="exact"/>
      <w:jc w:val="center"/>
      <w:outlineLvl w:val="0"/>
    </w:pPr>
    <w:rPr>
      <w:rFonts w:asciiTheme="majorHAnsi" w:cstheme="majorBidi" w:eastAsia="游ゴシック Medium" w:hAnsiTheme="majorHAnsi"/>
      <w:bCs/>
      <w:sz w:val="40"/>
      <w:szCs w:val="32"/>
    </w:rPr>
  </w:style>
  <w:style w:styleId="2" w:type="paragraph">
    <w:name w:val="heading 2"/>
    <w:basedOn w:val="a1"/>
    <w:next w:val="a2"/>
    <w:uiPriority w:val="9"/>
    <w:unhideWhenUsed/>
    <w:qFormat/>
    <w:rsid w:val="00D409F3"/>
    <w:pPr>
      <w:keepNext/>
      <w:keepLines/>
      <w:spacing w:after="100" w:afterLines="100" w:before="100" w:beforeLines="100" w:line="520" w:lineRule="exact"/>
      <w:jc w:val="center"/>
      <w:outlineLvl w:val="1"/>
    </w:pPr>
    <w:rPr>
      <w:rFonts w:asciiTheme="majorHAnsi" w:cstheme="majorBidi" w:eastAsia="游ゴシック Medium" w:hAnsiTheme="majorHAnsi"/>
      <w:bCs/>
      <w:sz w:val="36"/>
      <w:szCs w:val="32"/>
    </w:rPr>
  </w:style>
  <w:style w:styleId="3" w:type="paragraph">
    <w:name w:val="heading 3"/>
    <w:basedOn w:val="a1"/>
    <w:next w:val="a2"/>
    <w:uiPriority w:val="9"/>
    <w:unhideWhenUsed/>
    <w:qFormat/>
    <w:rsid w:val="00645D23"/>
    <w:pPr>
      <w:keepNext/>
      <w:keepLines/>
      <w:spacing w:after="100" w:afterLines="100" w:before="150" w:beforeLines="150" w:line="480" w:lineRule="exact"/>
      <w:outlineLvl w:val="2"/>
    </w:pPr>
    <w:rPr>
      <w:rFonts w:asciiTheme="majorHAnsi" w:cstheme="majorBidi" w:eastAsia="游ゴシック Medium" w:hAnsiTheme="majorHAnsi"/>
      <w:bCs/>
      <w:sz w:val="36"/>
      <w:szCs w:val="28"/>
    </w:rPr>
  </w:style>
  <w:style w:styleId="4" w:type="paragraph">
    <w:name w:val="heading 4"/>
    <w:basedOn w:val="a1"/>
    <w:next w:val="a2"/>
    <w:uiPriority w:val="9"/>
    <w:unhideWhenUsed/>
    <w:qFormat/>
    <w:rsid w:val="00533DD5"/>
    <w:pPr>
      <w:keepNext/>
      <w:keepLines/>
      <w:spacing w:after="50" w:afterLines="50" w:before="150" w:beforeLines="150"/>
      <w:outlineLvl w:val="3"/>
    </w:pPr>
    <w:rPr>
      <w:rFonts w:asciiTheme="majorHAnsi" w:cstheme="majorBidi" w:eastAsia="游ゴシック Medium" w:hAnsiTheme="majorHAnsi"/>
      <w:bCs/>
      <w:sz w:val="28"/>
    </w:rPr>
  </w:style>
  <w:style w:styleId="5" w:type="paragraph">
    <w:name w:val="heading 5"/>
    <w:basedOn w:val="a1"/>
    <w:next w:val="a2"/>
    <w:uiPriority w:val="9"/>
    <w:unhideWhenUsed/>
    <w:qFormat/>
    <w:rsid w:val="004A61EF"/>
    <w:pPr>
      <w:keepNext/>
      <w:keepLines/>
      <w:spacing w:after="25" w:afterLines="25" w:before="100" w:beforeLines="100"/>
      <w:outlineLvl w:val="4"/>
    </w:pPr>
    <w:rPr>
      <w:rFonts w:asciiTheme="majorHAnsi" w:cstheme="majorBidi" w:eastAsia="游ゴシック Medium" w:hAnsiTheme="majorHAnsi"/>
      <w:iCs/>
      <w:sz w:val="24"/>
    </w:rPr>
  </w:style>
  <w:style w:styleId="6" w:type="paragraph">
    <w:name w:val="heading 6"/>
    <w:basedOn w:val="a1"/>
    <w:next w:val="a2"/>
    <w:uiPriority w:val="9"/>
    <w:unhideWhenUsed/>
    <w:qFormat/>
    <w:rsid w:val="000D7956"/>
    <w:pPr>
      <w:keepNext/>
      <w:keepLines/>
      <w:outlineLvl w:val="5"/>
    </w:pPr>
    <w:rPr>
      <w:rFonts w:asciiTheme="majorHAnsi" w:cstheme="majorBidi" w:eastAsia="游明朝" w:hAnsiTheme="majorHAnsi"/>
    </w:rPr>
  </w:style>
  <w:style w:styleId="7" w:type="paragraph">
    <w:name w:val="heading 7"/>
    <w:basedOn w:val="a1"/>
    <w:next w:val="a2"/>
    <w:uiPriority w:val="9"/>
    <w:unhideWhenUsed/>
    <w:qFormat/>
    <w:pPr>
      <w:keepNext/>
      <w:keepLines/>
      <w:spacing w:before="200"/>
      <w:outlineLvl w:val="6"/>
    </w:pPr>
    <w:rPr>
      <w:rFonts w:asciiTheme="majorHAnsi" w:cstheme="majorBidi" w:eastAsiaTheme="majorEastAsia" w:hAnsiTheme="majorHAnsi"/>
      <w:color w:themeColor="accent1" w:val="4F81BD"/>
      <w:sz w:val="24"/>
    </w:rPr>
  </w:style>
  <w:style w:styleId="8" w:type="paragraph">
    <w:name w:val="heading 8"/>
    <w:basedOn w:val="a1"/>
    <w:next w:val="a2"/>
    <w:uiPriority w:val="9"/>
    <w:unhideWhenUsed/>
    <w:qFormat/>
    <w:pPr>
      <w:keepNext/>
      <w:keepLines/>
      <w:spacing w:before="200"/>
      <w:outlineLvl w:val="7"/>
    </w:pPr>
    <w:rPr>
      <w:rFonts w:asciiTheme="majorHAnsi" w:cstheme="majorBidi" w:eastAsiaTheme="majorEastAsia" w:hAnsiTheme="majorHAnsi"/>
      <w:color w:themeColor="accent1" w:val="4F81BD"/>
      <w:sz w:val="24"/>
    </w:rPr>
  </w:style>
  <w:style w:styleId="9" w:type="paragraph">
    <w:name w:val="heading 9"/>
    <w:basedOn w:val="a1"/>
    <w:next w:val="a2"/>
    <w:uiPriority w:val="9"/>
    <w:unhideWhenUsed/>
    <w:qFormat/>
    <w:pPr>
      <w:keepNext/>
      <w:keepLines/>
      <w:spacing w:before="200"/>
      <w:outlineLvl w:val="8"/>
    </w:pPr>
    <w:rPr>
      <w:rFonts w:asciiTheme="majorHAnsi" w:cstheme="majorBidi" w:eastAsiaTheme="majorEastAsia" w:hAnsiTheme="majorHAnsi"/>
      <w:color w:themeColor="accent1" w:val="4F81BD"/>
      <w:sz w:val="24"/>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2C60EE"/>
    <w:pPr>
      <w:ind w:firstLine="100" w:firstLineChars="100"/>
    </w:pPr>
  </w:style>
  <w:style w:customStyle="1" w:styleId="FirstParagraph" w:type="paragraph">
    <w:name w:val="First Paragraph"/>
    <w:basedOn w:val="a2"/>
    <w:next w:val="a2"/>
    <w:qFormat/>
    <w:rsid w:val="00561BE5"/>
    <w:pPr>
      <w:ind w:firstLine="0" w:firstLineChars="0"/>
    </w:pPr>
  </w:style>
  <w:style w:customStyle="1" w:styleId="Compact" w:type="paragraph">
    <w:name w:val="Compact"/>
    <w:basedOn w:val="a2"/>
    <w:qFormat/>
    <w:rsid w:val="003E5A54"/>
    <w:pPr>
      <w:ind w:firstLine="0" w:firstLineChars="0"/>
    </w:pPr>
  </w:style>
  <w:style w:styleId="a7" w:type="paragraph">
    <w:name w:val="Title"/>
    <w:basedOn w:val="a1"/>
    <w:next w:val="a2"/>
    <w:qFormat/>
    <w:rsid w:val="00AA09BF"/>
    <w:pPr>
      <w:keepNext/>
      <w:keepLines/>
      <w:spacing w:before="100" w:beforeLines="100"/>
      <w:jc w:val="center"/>
    </w:pPr>
    <w:rPr>
      <w:rFonts w:asciiTheme="majorHAnsi" w:cstheme="majorBidi" w:eastAsia="游明朝 Demibold" w:hAnsiTheme="majorHAnsi"/>
      <w:bCs/>
      <w:sz w:val="28"/>
      <w:szCs w:val="36"/>
    </w:rPr>
  </w:style>
  <w:style w:styleId="a8" w:type="paragraph">
    <w:name w:val="Subtitle"/>
    <w:basedOn w:val="a7"/>
    <w:next w:val="a2"/>
    <w:qFormat/>
    <w:rsid w:val="002029D3"/>
    <w:rPr>
      <w:rFonts w:eastAsia="游明朝"/>
      <w:sz w:val="22"/>
      <w:szCs w:val="30"/>
    </w:rPr>
  </w:style>
  <w:style w:customStyle="1" w:styleId="Author" w:type="paragraph">
    <w:name w:val="Author"/>
    <w:next w:val="a2"/>
    <w:qFormat/>
    <w:rsid w:val="00033F66"/>
    <w:pPr>
      <w:keepNext/>
      <w:keepLines/>
      <w:spacing w:after="50" w:afterLines="50"/>
      <w:jc w:val="right"/>
    </w:pPr>
    <w:rPr>
      <w:sz w:val="22"/>
    </w:rPr>
  </w:style>
  <w:style w:styleId="a9" w:type="paragraph">
    <w:name w:val="Date"/>
    <w:next w:val="a2"/>
    <w:qFormat/>
    <w:rsid w:val="002839DF"/>
    <w:pPr>
      <w:keepNext/>
      <w:keepLines/>
      <w:snapToGrid w:val="0"/>
      <w:jc w:val="center"/>
    </w:pPr>
  </w:style>
  <w:style w:customStyle="1" w:styleId="Abstract" w:type="paragraph">
    <w:name w:val="Abstract"/>
    <w:basedOn w:val="a1"/>
    <w:next w:val="a2"/>
    <w:qFormat/>
    <w:pPr>
      <w:keepNext/>
      <w:keepLines/>
      <w:spacing w:after="300" w:before="300"/>
    </w:pPr>
    <w:rPr>
      <w:sz w:val="20"/>
      <w:szCs w:val="20"/>
    </w:rPr>
  </w:style>
  <w:style w:styleId="aa" w:type="paragraph">
    <w:name w:val="Bibliography"/>
    <w:basedOn w:val="a1"/>
    <w:qFormat/>
  </w:style>
  <w:style w:styleId="ab" w:type="paragraph">
    <w:name w:val="Block Text"/>
    <w:basedOn w:val="a2"/>
    <w:next w:val="a2"/>
    <w:uiPriority w:val="9"/>
    <w:unhideWhenUsed/>
    <w:qFormat/>
    <w:rsid w:val="009E6990"/>
    <w:pPr>
      <w:spacing w:after="100" w:afterLines="100" w:before="100" w:beforeLines="100"/>
      <w:ind w:firstLine="0" w:firstLineChars="0" w:left="200" w:leftChars="200"/>
    </w:pPr>
    <w:rPr>
      <w:rFonts w:cstheme="majorBidi"/>
      <w:bCs/>
      <w:szCs w:val="20"/>
    </w:rPr>
  </w:style>
  <w:style w:styleId="ac" w:type="paragraph">
    <w:name w:val="footnote text"/>
    <w:basedOn w:val="a1"/>
    <w:uiPriority w:val="9"/>
    <w:unhideWhenUsed/>
    <w:qFormat/>
    <w:rsid w:val="00030D78"/>
    <w:pPr>
      <w:spacing w:after="50" w:afterLines="50" w:line="340" w:lineRule="exact"/>
      <w:ind w:hanging="95" w:hangingChars="95" w:left="95"/>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d" w:type="paragraph">
    <w:name w:val="caption"/>
    <w:basedOn w:val="a1"/>
    <w:link w:val="ae"/>
    <w:pPr>
      <w:spacing w:after="120"/>
    </w:pPr>
    <w:rPr>
      <w:i/>
    </w:rPr>
  </w:style>
  <w:style w:customStyle="1" w:styleId="TableCaption" w:type="paragraph">
    <w:name w:val="Table Caption"/>
    <w:basedOn w:val="ad"/>
    <w:pPr>
      <w:keepNext/>
    </w:pPr>
  </w:style>
  <w:style w:customStyle="1" w:styleId="ImageCaption" w:type="paragraph">
    <w:name w:val="Image Caption"/>
    <w:basedOn w:val="ad"/>
  </w:style>
  <w:style w:customStyle="1" w:styleId="Figure" w:type="paragraph">
    <w:name w:val="Figure"/>
    <w:basedOn w:val="a1"/>
  </w:style>
  <w:style w:customStyle="1" w:styleId="CaptionedFigure" w:type="paragraph">
    <w:name w:val="Captioned Figure"/>
    <w:basedOn w:val="Figure"/>
    <w:pPr>
      <w:keepNext/>
    </w:pPr>
  </w:style>
  <w:style w:customStyle="1" w:styleId="ae" w:type="character">
    <w:name w:val="図表番号 (文字)"/>
    <w:basedOn w:val="a3"/>
    <w:link w:val="ad"/>
  </w:style>
  <w:style w:customStyle="1" w:styleId="VerbatimChar" w:type="character">
    <w:name w:val="Verbatim Char"/>
    <w:basedOn w:val="ae"/>
    <w:link w:val="SourceCode"/>
    <w:rsid w:val="00497E97"/>
    <w:rPr>
      <w:rFonts w:ascii="Times New Roman" w:hAnsi="Times New Roman"/>
      <w:sz w:val="22"/>
    </w:rPr>
  </w:style>
  <w:style w:styleId="af" w:type="character">
    <w:name w:val="footnote reference"/>
    <w:basedOn w:val="ae"/>
    <w:rPr>
      <w:vertAlign w:val="superscript"/>
    </w:rPr>
  </w:style>
  <w:style w:styleId="af0" w:type="character">
    <w:name w:val="Hyperlink"/>
    <w:basedOn w:val="ae"/>
    <w:uiPriority w:val="99"/>
    <w:rPr>
      <w:color w:themeColor="accent1" w:val="4F81BD"/>
    </w:rPr>
  </w:style>
  <w:style w:styleId="af1" w:type="paragraph">
    <w:name w:val="TOC Heading"/>
    <w:basedOn w:val="1"/>
    <w:next w:val="a2"/>
    <w:uiPriority w:val="39"/>
    <w:unhideWhenUsed/>
    <w:qFormat/>
    <w:pPr>
      <w:spacing w:before="240" w:line="259" w:lineRule="auto"/>
      <w:outlineLvl w:val="9"/>
    </w:pPr>
    <w:rPr>
      <w:b/>
      <w:bCs w:val="0"/>
      <w:color w:themeColor="accent1" w:themeShade="BF" w:val="365F91"/>
    </w:rPr>
  </w:style>
  <w:style w:customStyle="1" w:styleId="SourceCode" w:type="paragraph">
    <w:name w:val="Source Code"/>
    <w:basedOn w:val="a1"/>
    <w:link w:val="VerbatimChar"/>
    <w:rsid w:val="00497E97"/>
    <w:pPr>
      <w:wordWrap w:val="0"/>
    </w:pPr>
    <w:rPr>
      <w:rFonts w:ascii="Times New Roman" w:hAnsi="Times New Roman"/>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2" w:type="paragraph">
    <w:name w:val="header"/>
    <w:basedOn w:val="a1"/>
    <w:link w:val="af3"/>
    <w:unhideWhenUsed/>
    <w:rsid w:val="00625373"/>
    <w:pPr>
      <w:tabs>
        <w:tab w:pos="4252" w:val="center"/>
        <w:tab w:pos="8504" w:val="right"/>
      </w:tabs>
    </w:pPr>
  </w:style>
  <w:style w:customStyle="1" w:styleId="af3" w:type="character">
    <w:name w:val="ヘッダー (文字)"/>
    <w:basedOn w:val="a3"/>
    <w:link w:val="af2"/>
    <w:rsid w:val="00625373"/>
    <w:rPr>
      <w:sz w:val="22"/>
    </w:rPr>
  </w:style>
  <w:style w:styleId="af4" w:type="paragraph">
    <w:name w:val="footer"/>
    <w:basedOn w:val="a1"/>
    <w:link w:val="af5"/>
    <w:uiPriority w:val="99"/>
    <w:unhideWhenUsed/>
    <w:rsid w:val="00625373"/>
    <w:pPr>
      <w:tabs>
        <w:tab w:pos="4252" w:val="center"/>
        <w:tab w:pos="8504" w:val="right"/>
      </w:tabs>
    </w:pPr>
  </w:style>
  <w:style w:customStyle="1" w:styleId="af5" w:type="character">
    <w:name w:val="フッター (文字)"/>
    <w:basedOn w:val="a3"/>
    <w:link w:val="af4"/>
    <w:uiPriority w:val="99"/>
    <w:rsid w:val="00625373"/>
    <w:rPr>
      <w:sz w:val="22"/>
    </w:rPr>
  </w:style>
  <w:style w:customStyle="1" w:styleId="a6" w:type="character">
    <w:name w:val="本文 (文字)"/>
    <w:basedOn w:val="a3"/>
    <w:link w:val="a2"/>
    <w:rsid w:val="002C60EE"/>
    <w:rPr>
      <w:sz w:val="22"/>
    </w:rPr>
  </w:style>
  <w:style w:styleId="af6" w:type="paragraph">
    <w:name w:val="List Paragraph"/>
    <w:basedOn w:val="a1"/>
    <w:rsid w:val="00685D1E"/>
    <w:pPr>
      <w:ind w:left="840" w:leftChars="400"/>
    </w:pPr>
  </w:style>
  <w:style w:customStyle="1" w:styleId="a0" w:type="numbering">
    <w:name w:val="箇条書き（ユーザー定義）"/>
    <w:uiPriority w:val="99"/>
    <w:rsid w:val="00306E5D"/>
    <w:pPr>
      <w:numPr>
        <w:numId w:val="16"/>
      </w:numPr>
    </w:pPr>
  </w:style>
  <w:style w:customStyle="1" w:styleId="a" w:type="numbering">
    <w:name w:val="段落番号（ユーザー定義）"/>
    <w:uiPriority w:val="99"/>
    <w:rsid w:val="0098432F"/>
    <w:pPr>
      <w:numPr>
        <w:numId w:val="27"/>
      </w:numPr>
    </w:pPr>
  </w:style>
  <w:style w:styleId="10" w:type="paragraph">
    <w:name w:val="toc 1"/>
    <w:basedOn w:val="a1"/>
    <w:next w:val="a1"/>
    <w:autoRedefine/>
    <w:uiPriority w:val="39"/>
    <w:unhideWhenUsed/>
    <w:rsid w:val="00A744FC"/>
  </w:style>
  <w:style w:styleId="20" w:type="paragraph">
    <w:name w:val="toc 2"/>
    <w:basedOn w:val="a1"/>
    <w:next w:val="a1"/>
    <w:autoRedefine/>
    <w:uiPriority w:val="39"/>
    <w:unhideWhenUsed/>
    <w:rsid w:val="00A744FC"/>
    <w:pPr>
      <w:ind w:left="220" w:leftChars="100"/>
    </w:pPr>
  </w:style>
  <w:style w:styleId="40" w:type="paragraph">
    <w:name w:val="toc 4"/>
    <w:basedOn w:val="a1"/>
    <w:next w:val="a1"/>
    <w:autoRedefine/>
    <w:uiPriority w:val="39"/>
    <w:unhideWhenUsed/>
    <w:rsid w:val="00A744FC"/>
    <w:pPr>
      <w:ind w:left="660" w:leftChars="300"/>
    </w:pPr>
  </w:style>
  <w:style w:styleId="30" w:type="paragraph">
    <w:name w:val="toc 3"/>
    <w:basedOn w:val="a1"/>
    <w:next w:val="a1"/>
    <w:autoRedefine/>
    <w:uiPriority w:val="39"/>
    <w:unhideWhenUsed/>
    <w:rsid w:val="00A744FC"/>
    <w:pPr>
      <w:ind w:left="44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11" Target="footer3.xml" Type="http://schemas.openxmlformats.org/officeDocument/2006/relationships/footer" /><Relationship Id="rId10" Target="header1.xml" Type="http://schemas.openxmlformats.org/officeDocument/2006/relationships/header"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ユーザー定義">
      <a:majorFont>
        <a:latin typeface="Arial"/>
        <a:ea typeface="游ゴシック"/>
        <a:cs typeface=""/>
      </a:majorFont>
      <a:minorFont>
        <a:latin typeface="Times New Roman"/>
        <a:ea typeface="游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2025-12-23T05:29:15Z</dcterms:created>
  <dcterms:modified xsi:type="dcterms:W3CDTF">2025-12-23T05:29:15Z</dcterms:modified>
</cp:coreProperties>
</file>

<file path=docProps/custom.xml><?xml version="1.0" encoding="utf-8"?>
<Properties xmlns="http://schemas.openxmlformats.org/officeDocument/2006/custom-properties" xmlns:vt="http://schemas.openxmlformats.org/officeDocument/2006/docPropsVTypes"/>
</file>