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금융시장 레짐 분석 리서치</w:t>
      </w:r>
    </w:p>
    <w:p>
      <w:pPr>
        <w:spacing w:after="100"/>
      </w:pPr>
      <w:r>
        <w:rPr>
          <w:b/>
          <w:bCs/>
          <w:color w:val="555555"/>
        </w:rPr>
        <w:t xml:space="preserve">기준일: 2026년 7월 3일  |  NH투자증권 리서치본부  |  김규진(퀀트전략)</w:t>
      </w:r>
    </w:p>
    <w:p>
      <w:pPr>
        <w:spacing w:after="300"/>
      </w:pPr>
      <w:r>
        <w:rPr>
          <w:i/>
          <w:iCs/>
          <w:color w:val="777777"/>
          <w:sz w:val="18"/>
          <w:szCs w:val="18"/>
        </w:rPr>
        <w:t xml:space="preserve">모델 반영 최신 주간: 2026-06-26 (미국 증시는 7/3 독립기념일 휴장으로 신규 주간 종가 미반영)</w:t>
      </w:r>
    </w:p>
    <w:p>
      <w:pPr>
        <w:pBdr>
          <w:bottom w:val="single" w:color="2E5A8C" w:sz="6" w:space="1"/>
        </w:pBdr>
        <w:spacing w:after="200" w:before="200"/>
      </w:pPr>
    </w:p>
    <w:p>
      <w:pPr>
        <w:pStyle w:val="Heading1"/>
      </w:pPr>
      <w:r>
        <w:t xml:space="preserve">1. 모델 개요</w:t>
      </w:r>
    </w:p>
    <w:p>
      <w:pPr>
        <w:spacing w:after="160"/>
      </w:pPr>
      <w:r>
        <w:t xml:space="preserve">본 분석은 은닉 마르코프 모델(HMM, Hidden Markov Model)을 사용하여 글로벌 금융시장을 4개의 레짐(State 0~3)으로 분류합니다. 모델 입력 변수는 다음과 같습니다.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6"/>
        <w:gridCol w:w="7220"/>
      </w:tblGrid>
      <w:tr>
        <w:trPr>
          <w:tblHeader/>
        </w:trPr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변수</w:t>
            </w:r>
          </w:p>
        </w:tc>
        <w:tc>
          <w:tcPr>
            <w:tcW w:type="dxa" w:w="7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em_hsd</w:t>
            </w:r>
          </w:p>
        </w:tc>
        <w:tc>
          <w:tcPr>
            <w:tcW w:type="dxa" w:w="7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신흥국(EM) 주식시장 히스토리컬 모멘텀/변동성</w:t>
            </w:r>
          </w:p>
        </w:tc>
      </w:tr>
      <w:tr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eu_hsd</w:t>
            </w:r>
          </w:p>
        </w:tc>
        <w:tc>
          <w:tcPr>
            <w:tcW w:type="dxa" w:w="7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유럽(EU) 주식시장 히스토리컬 모멘텀/변동성</w:t>
            </w:r>
          </w:p>
        </w:tc>
      </w:tr>
      <w:tr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us_hsd</w:t>
            </w:r>
          </w:p>
        </w:tc>
        <w:tc>
          <w:tcPr>
            <w:tcW w:type="dxa" w:w="7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미국(US) 주식시장 히스토리컬 모멘텀/변동성</w:t>
            </w:r>
          </w:p>
        </w:tc>
      </w:tr>
      <w:tr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usd</w:t>
            </w:r>
          </w:p>
        </w:tc>
        <w:tc>
          <w:tcPr>
            <w:tcW w:type="dxa" w:w="7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달러화 수익률</w:t>
            </w:r>
          </w:p>
        </w:tc>
      </w:tr>
      <w:tr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jpy</w:t>
            </w:r>
          </w:p>
        </w:tc>
        <w:tc>
          <w:tcPr>
            <w:tcW w:type="dxa" w:w="7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엔화 수익률</w:t>
            </w:r>
          </w:p>
        </w:tc>
      </w:tr>
      <w:tr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eur</w:t>
            </w:r>
          </w:p>
        </w:tc>
        <w:tc>
          <w:tcPr>
            <w:tcW w:type="dxa" w:w="7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유로화 수익률</w:t>
            </w:r>
          </w:p>
        </w:tc>
      </w:tr>
    </w:tbl>
    <w:p>
      <w:pPr>
        <w:spacing w:after="100" w:before="200"/>
      </w:pPr>
      <w:r>
        <w:t xml:space="preserve">전체 데이터 기간은 2010년 8월~2026년 6월이며, 총 830개 주간 관측치로 학습되었습니다. (6/5 기준 리서치 대비 관측치 +3주 업데이트)</w:t>
      </w:r>
    </w:p>
    <w:p>
      <w:pPr>
        <w:pStyle w:val="Heading1"/>
      </w:pPr>
      <w:r>
        <w:t xml:space="preserve">2. 각 레짐(State)의 특성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950"/>
        <w:gridCol w:w="950"/>
        <w:gridCol w:w="950"/>
        <w:gridCol w:w="1000"/>
        <w:gridCol w:w="1000"/>
        <w:gridCol w:w="1000"/>
        <w:gridCol w:w="2476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State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em_hsd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eu_hsd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us_hsd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usd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jpy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eur</w:t>
            </w:r>
          </w:p>
        </w:tc>
        <w:tc>
          <w:tcPr>
            <w:tcW w:type="dxa" w:w="24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성격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0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+4.20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+0.01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+3.40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+0.0043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+0.0108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-0.0037</w:t>
            </w:r>
          </w:p>
        </w:tc>
        <w:tc>
          <w:tcPr>
            <w:tcW w:type="dxa" w:w="24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신흥국·미국 동반 강세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+0.12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+1.64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+2.51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+0.0027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+0.0032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-0.0031</w:t>
            </w:r>
          </w:p>
        </w:tc>
        <w:tc>
          <w:tcPr>
            <w:tcW w:type="dxa" w:w="24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유럽 주도 안정 성장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-4.17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-0.11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-0.02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-0.0037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-0.0069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+0.0090</w:t>
            </w:r>
          </w:p>
        </w:tc>
        <w:tc>
          <w:tcPr>
            <w:tcW w:type="dxa" w:w="24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글로벌 위험 회피·하락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+2.43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+0.90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+3.48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-0.0007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+0.0009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+0.0007</w:t>
            </w:r>
          </w:p>
        </w:tc>
        <w:tc>
          <w:tcPr>
            <w:tcW w:type="dxa" w:w="24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미국 주도 강세</w:t>
            </w:r>
          </w:p>
        </w:tc>
      </w:tr>
    </w:tbl>
    <w:p>
      <w:pPr>
        <w:spacing w:before="200"/>
      </w:pPr>
      <w:r>
        <w:rPr>
          <w:b/>
          <w:bCs/>
        </w:rPr>
        <w:t xml:space="preserve">레짐별 출현 빈도 (2010~2026, 830주)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State 0: 151주 (18.2%) — 신흥국 강세 국면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State 1: 235주 (28.3%) — 안정 성장 국면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State 2: 53주 (6.4%) — 위기/하락 국면 (가장 드묾)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State 3: 391주 (47.1%) — 미국 주도 강세 (가장 빈번)</w:t>
      </w:r>
    </w:p>
    <w:p>
      <w:pPr>
        <w:pStyle w:val="Heading1"/>
      </w:pPr>
      <w:r>
        <w:t xml:space="preserve">3. 현재 레짐 진단 (2026년 7월 3일, 데이터 기준 2026-06-26)</w:t>
      </w:r>
    </w:p>
    <w:p>
      <w:pPr>
        <w:pStyle w:val="Heading2"/>
      </w:pPr>
      <w:r>
        <w:t xml:space="preserve">3-1. 현재 레짐: State 1 — 안정 성장 국면 (단, 확률상 State 3로 급속 회귀 중)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400"/>
        <w:gridCol w:w="1400"/>
        <w:gridCol w:w="1400"/>
        <w:gridCol w:w="3926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지표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현재값(6/26)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State1 중앙값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State3 중앙값</w:t>
            </w:r>
          </w:p>
        </w:tc>
        <w:tc>
          <w:tcPr>
            <w:tcW w:type="dxa" w:w="3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해석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em_hsd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+0.20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+0.12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+2.43</w:t>
            </w:r>
          </w:p>
        </w:tc>
        <w:tc>
          <w:tcPr>
            <w:tcW w:type="dxa" w:w="3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State1 근접, State3 대비 크게 약함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eu_hsd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+2.46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+1.64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+0.90</w:t>
            </w:r>
          </w:p>
        </w:tc>
        <w:tc>
          <w:tcPr>
            <w:tcW w:type="dxa" w:w="3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유럽 모멘텀 State1·3 모두 상회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us_hsd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+2.49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+2.51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+3.48</w:t>
            </w:r>
          </w:p>
        </w:tc>
        <w:tc>
          <w:tcPr>
            <w:tcW w:type="dxa" w:w="3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State1과 거의 일치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usd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+0.0248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+0.0027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-0.0007</w:t>
            </w:r>
          </w:p>
        </w:tc>
        <w:tc>
          <w:tcPr>
            <w:tcW w:type="dxa" w:w="3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달러 강세가 두 State 중앙값을 모두 크게 상회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jpy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+0.0156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+0.0032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+0.0009</w:t>
            </w:r>
          </w:p>
        </w:tc>
        <w:tc>
          <w:tcPr>
            <w:tcW w:type="dxa" w:w="3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엔화도 유사하게 강세 이례적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eur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-0.0237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-0.0031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+0.0007</w:t>
            </w:r>
          </w:p>
        </w:tc>
        <w:tc>
          <w:tcPr>
            <w:tcW w:type="dxa" w:w="3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유로 약세 뚜렷</w:t>
            </w:r>
          </w:p>
        </w:tc>
      </w:tr>
    </w:tbl>
    <w:p>
      <w:pPr>
        <w:spacing w:after="160"/>
      </w:pPr>
      <w:r>
        <w:rPr>
          <w:sz w:val="20"/>
          <w:szCs w:val="20"/>
        </w:rPr>
        <w:t xml:space="preserve">현재 지표는 em·us 모멘텀은 State 1과 유사하지만, 달러·엔화 강세 폭이 State1·State3 어느 쪽 전형적 패턴보다도 훨씬 크다는 점에서 두 레짐의 특징이 혼재된 과도기적 모습입니다.</w:t>
      </w:r>
    </w:p>
    <w:p>
      <w:pPr>
        <w:pStyle w:val="Heading2"/>
      </w:pPr>
      <w:r>
        <w:t xml:space="preserve">3-2. 레짐 확률 분포 — 최근 4주 추이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26"/>
        <w:gridCol w:w="1500"/>
        <w:gridCol w:w="1500"/>
        <w:gridCol w:w="1500"/>
        <w:gridCol w:w="1500"/>
        <w:gridCol w:w="1500"/>
      </w:tblGrid>
      <w:tr>
        <w:trPr>
          <w:tblHeader/>
        </w:trPr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날짜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확정 State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State0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State1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State2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State3</w:t>
            </w:r>
          </w:p>
        </w:tc>
      </w:tr>
      <w:tr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2026-06-05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18.0%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64.3%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5.3%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12.3%</w:t>
            </w:r>
          </w:p>
        </w:tc>
      </w:tr>
      <w:tr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2026-06-12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12.3%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79.2%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8.1%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0.4%</w:t>
            </w:r>
          </w:p>
        </w:tc>
      </w:tr>
      <w:tr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2026-06-19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16.2%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55.1%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6.7%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22.0%</w:t>
            </w:r>
          </w:p>
        </w:tc>
      </w:tr>
      <w:tr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2026-06-26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20.9%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25.3%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4.4%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49.4%</w:t>
            </w:r>
          </w:p>
        </w:tc>
      </w:tr>
    </w:tbl>
    <w:p>
      <w:pPr>
        <w:spacing w:after="160"/>
      </w:pPr>
      <w:r>
        <w:rPr>
          <w:sz w:val="20"/>
          <w:szCs w:val="20"/>
        </w:rPr>
        <w:t xml:space="preserve">모델이 화면상 표기하는 확정 레짐은 여전히 State 1이지만, 이는 급격한 단일주 전환에 따른 신호 잡음을 걸러내는 히스테리시스(hysteresis) 로직 때문입니다. 순수 우도 기반 확률은 State 3가 49.4%로 State 1(25.3%)을 이미 역전했으며, 6월 12일 이후 3주 연속 State 3 확률이 급등(0.4%→22.0%→49.4%)하는 뚜렷한 추세를 보이고 있습니다. 다음 주간 데이터에서 State 3로 정식 전환될 가능성이 높은 상황입니다.</w:t>
      </w:r>
    </w:p>
    <w:p>
      <w:pPr>
        <w:pStyle w:val="Heading2"/>
      </w:pPr>
      <w:r>
        <w:t xml:space="preserve">3-3. 레짐 전환 이력 (최근 2년)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26"/>
        <w:gridCol w:w="700"/>
        <w:gridCol w:w="3700"/>
        <w:gridCol w:w="1000"/>
      </w:tblGrid>
      <w:tr>
        <w:trPr>
          <w:tblHeader/>
        </w:trPr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기간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State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성격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기간(주)</w:t>
            </w:r>
          </w:p>
        </w:tc>
      </w:tr>
      <w:tr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2025-03-07 ~ 2025-05-02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위기 (관세 충격)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9주</w:t>
            </w:r>
          </w:p>
        </w:tc>
      </w:tr>
      <w:tr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2025-05-09 ~ 2025-05-16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안정 성장(과도기)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2주</w:t>
            </w:r>
          </w:p>
        </w:tc>
      </w:tr>
      <w:tr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2025-05-23 ~ 2025-09-26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미국 주도 반등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19주</w:t>
            </w:r>
          </w:p>
        </w:tc>
      </w:tr>
      <w:tr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2025-10-03 ~ 2025-11-28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안정 성장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9주</w:t>
            </w:r>
          </w:p>
        </w:tc>
      </w:tr>
      <w:tr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2025-12-05 ~ 2026-02-06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미국 주도 강세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10주</w:t>
            </w:r>
          </w:p>
        </w:tc>
      </w:tr>
      <w:tr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2026-02-13 ~ 2026-03-06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안정 성장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4주</w:t>
            </w:r>
          </w:p>
        </w:tc>
      </w:tr>
      <w:tr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2026-03-13 ~ 2026-03-20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소규모 조정 (2/28 이란 전쟁 충격 여파 추정)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2주</w:t>
            </w:r>
          </w:p>
        </w:tc>
      </w:tr>
      <w:tr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2026-03-27 ~ 2026-04-17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신흥국 강세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4주</w:t>
            </w:r>
          </w:p>
        </w:tc>
      </w:tr>
      <w:tr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2026-04-24 ~ 2026-05-29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미국 주도 강세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6주</w:t>
            </w:r>
          </w:p>
        </w:tc>
      </w:tr>
      <w:tr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2026-06-05 ~ 2026-06-26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안정 성장 (전환 진행 중)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4주</w:t>
            </w:r>
          </w:p>
        </w:tc>
      </w:tr>
    </w:tbl>
    <w:p>
      <w:pPr>
        <w:pBdr>
          <w:left w:val="single" w:color="E8A33D" w:sz="18" w:space="8"/>
        </w:pBdr>
        <w:shd w:fill="FFF6DA" w:val="clear"/>
        <w:spacing w:after="200" w:before="120"/>
      </w:pPr>
      <w:r>
        <w:rPr>
          <w:i/>
          <w:iCs/>
          <w:sz w:val="19"/>
          <w:szCs w:val="19"/>
        </w:rPr>
        <w:t xml:space="preserve">주목: 2026년은 State 0(신흥국)→State 3(미국주도)→State 1(안정성장)로 빠르게 순환하고 있으며, State 1 국면의 지속 기간이 4~9주로 짧아지는 추세입니다. 이는 2024년 하반기(State 1, 22주 지속)와 대비되는 레짐 전환 가속화 패턴으로, 매크로 변동성 확대(6절)와 궤를 같이합니다.</w:t>
      </w:r>
    </w:p>
    <w:p>
      <w:pPr>
        <w:pStyle w:val="Heading1"/>
      </w:pPr>
      <w:r>
        <w:t xml:space="preserve">4. 현재 레짐 최적 자산 배분</w:t>
      </w:r>
    </w:p>
    <w:p>
      <w:pPr>
        <w:pStyle w:val="Heading2"/>
      </w:pPr>
      <w:r>
        <w:t xml:space="preserve">4-1. State 1 순수 최적 비중 (모델 기준)</w:t>
      </w:r>
    </w:p>
    <w:p>
      <w:pPr>
        <w:pStyle w:val="Heading3"/>
      </w:pPr>
      <w:r>
        <w:t xml:space="preserve">자산군 배분 (Asset)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자산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State 1 최적 비중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MSCI World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28.4%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MSCI EM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15.0%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Gov Bond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6.5%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Gold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25.0%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WTI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25.0%</w:t>
            </w:r>
          </w:p>
        </w:tc>
      </w:tr>
    </w:tbl>
    <w:p>
      <w:pPr>
        <w:pStyle w:val="Heading3"/>
      </w:pPr>
      <w:r>
        <w:t xml:space="preserve">채권 배분 (Bond)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자산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State 1 최적 비중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US 1-3Y GOVT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68.6%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US 5Y GOVT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11.3%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US 10Y GOVT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0.0%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US 30Y GOVT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20.1%</w:t>
            </w:r>
          </w:p>
        </w:tc>
      </w:tr>
    </w:tbl>
    <w:p>
      <w:pPr>
        <w:pStyle w:val="Heading3"/>
      </w:pPr>
      <w:r>
        <w:t xml:space="preserve">주식 시장 배분 (Market)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지역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State 1 최적 비중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MSCI USA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52.5%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MSCI EUROPE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22.6%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MSCI EM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2.8%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MSCI KOREA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0.0%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MSCI JAPAN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22.1%</w:t>
            </w:r>
          </w:p>
        </w:tc>
      </w:tr>
    </w:tbl>
    <w:p>
      <w:pPr>
        <w:pStyle w:val="Heading2"/>
      </w:pPr>
      <w:r>
        <w:t xml:space="preserve">4-2. 현재 실제 배분 비중 (State 확률 가중 반영, 2026-06-26 vs 06-19)</w:t>
      </w:r>
    </w:p>
    <w:p>
      <w:pPr>
        <w:pStyle w:val="Heading3"/>
      </w:pPr>
      <w:r>
        <w:t xml:space="preserve">자산군 배분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6"/>
        <w:gridCol w:w="1500"/>
        <w:gridCol w:w="1800"/>
        <w:gridCol w:w="3420"/>
      </w:tblGrid>
      <w:tr>
        <w:trPr>
          <w:tblHeader/>
        </w:trPr>
        <w:tc>
          <w:tcPr>
            <w:tcW w:type="dxa" w:w="2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자산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06-19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06-26(현재)</w:t>
            </w:r>
          </w:p>
        </w:tc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변화</w:t>
            </w:r>
          </w:p>
        </w:tc>
      </w:tr>
      <w:tr>
        <w:tc>
          <w:tcPr>
            <w:tcW w:type="dxa" w:w="2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MSCI World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32.8%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37.4%</w:t>
            </w:r>
          </w:p>
        </w:tc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↑</w:t>
            </w:r>
          </w:p>
        </w:tc>
      </w:tr>
      <w:tr>
        <w:tc>
          <w:tcPr>
            <w:tcW w:type="dxa" w:w="2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MSCI EM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19.4%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23.2%</w:t>
            </w:r>
          </w:p>
        </w:tc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↑</w:t>
            </w:r>
          </w:p>
        </w:tc>
      </w:tr>
      <w:tr>
        <w:tc>
          <w:tcPr>
            <w:tcW w:type="dxa" w:w="2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Gov Bond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7.2%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5.5%</w:t>
            </w:r>
          </w:p>
        </w:tc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↓</w:t>
            </w:r>
          </w:p>
        </w:tc>
      </w:tr>
      <w:tr>
        <w:tc>
          <w:tcPr>
            <w:tcW w:type="dxa" w:w="2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Gold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21.8%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20.6%</w:t>
            </w:r>
          </w:p>
        </w:tc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↓</w:t>
            </w:r>
          </w:p>
        </w:tc>
      </w:tr>
      <w:tr>
        <w:tc>
          <w:tcPr>
            <w:tcW w:type="dxa" w:w="2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WTI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18.7%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13.3%</w:t>
            </w:r>
          </w:p>
        </w:tc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↓↓ (유가 하락 반영)</w:t>
            </w:r>
          </w:p>
        </w:tc>
      </w:tr>
    </w:tbl>
    <w:p>
      <w:pPr>
        <w:pStyle w:val="Heading3"/>
      </w:pPr>
      <w:r>
        <w:t xml:space="preserve">채권 배분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6"/>
        <w:gridCol w:w="1500"/>
        <w:gridCol w:w="1800"/>
        <w:gridCol w:w="3420"/>
      </w:tblGrid>
      <w:tr>
        <w:trPr>
          <w:tblHeader/>
        </w:trPr>
        <w:tc>
          <w:tcPr>
            <w:tcW w:type="dxa" w:w="2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자산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06-19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06-26(현재)</w:t>
            </w:r>
          </w:p>
        </w:tc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변화</w:t>
            </w:r>
          </w:p>
        </w:tc>
      </w:tr>
      <w:tr>
        <w:tc>
          <w:tcPr>
            <w:tcW w:type="dxa" w:w="2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US 1-3Y GOVT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43.3%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24.5%</w:t>
            </w:r>
          </w:p>
        </w:tc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↓↓ 단기채 급감</w:t>
            </w:r>
          </w:p>
        </w:tc>
      </w:tr>
      <w:tr>
        <w:tc>
          <w:tcPr>
            <w:tcW w:type="dxa" w:w="2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US 5Y GOVT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20.8%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28.1%</w:t>
            </w:r>
          </w:p>
        </w:tc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↑</w:t>
            </w:r>
          </w:p>
        </w:tc>
      </w:tr>
      <w:tr>
        <w:tc>
          <w:tcPr>
            <w:tcW w:type="dxa" w:w="2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US 10Y GOVT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15.6%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27.7%</w:t>
            </w:r>
          </w:p>
        </w:tc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↑↑ 장기 듀레이션 확대</w:t>
            </w:r>
          </w:p>
        </w:tc>
      </w:tr>
      <w:tr>
        <w:tc>
          <w:tcPr>
            <w:tcW w:type="dxa" w:w="2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US 30Y GOVT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20.3%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19.7%</w:t>
            </w:r>
          </w:p>
        </w:tc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–</w:t>
            </w:r>
          </w:p>
        </w:tc>
      </w:tr>
    </w:tbl>
    <w:p>
      <w:pPr>
        <w:pStyle w:val="Heading3"/>
      </w:pPr>
      <w:r>
        <w:t xml:space="preserve">주식 시장 배분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6"/>
        <w:gridCol w:w="1500"/>
        <w:gridCol w:w="1800"/>
        <w:gridCol w:w="3420"/>
      </w:tblGrid>
      <w:tr>
        <w:trPr>
          <w:tblHeader/>
        </w:trPr>
        <w:tc>
          <w:tcPr>
            <w:tcW w:type="dxa" w:w="2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지역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06-19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06-26(현재)</w:t>
            </w:r>
          </w:p>
        </w:tc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변화</w:t>
            </w:r>
          </w:p>
        </w:tc>
      </w:tr>
      <w:tr>
        <w:tc>
          <w:tcPr>
            <w:tcW w:type="dxa" w:w="2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MSCI USA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42.7%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37.3%</w:t>
            </w:r>
          </w:p>
        </w:tc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↓</w:t>
            </w:r>
          </w:p>
        </w:tc>
      </w:tr>
      <w:tr>
        <w:tc>
          <w:tcPr>
            <w:tcW w:type="dxa" w:w="2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MSCI EUROPE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17.5%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12.5%</w:t>
            </w:r>
          </w:p>
        </w:tc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↓</w:t>
            </w:r>
          </w:p>
        </w:tc>
      </w:tr>
      <w:tr>
        <w:tc>
          <w:tcPr>
            <w:tcW w:type="dxa" w:w="2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MSCI EM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2.8%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1.5%</w:t>
            </w:r>
          </w:p>
        </w:tc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↓</w:t>
            </w:r>
          </w:p>
        </w:tc>
      </w:tr>
      <w:tr>
        <w:tc>
          <w:tcPr>
            <w:tcW w:type="dxa" w:w="2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MSCI KOREA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11.4%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19.4%</w:t>
            </w:r>
          </w:p>
        </w:tc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↑↑</w:t>
            </w:r>
          </w:p>
        </w:tc>
      </w:tr>
      <w:tr>
        <w:tc>
          <w:tcPr>
            <w:tcW w:type="dxa" w:w="2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MSCI JAPAN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25.7%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29.2%</w:t>
            </w:r>
          </w:p>
        </w:tc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↑</w:t>
            </w:r>
          </w:p>
        </w:tc>
      </w:tr>
    </w:tbl>
    <w:p>
      <w:pPr>
        <w:pBdr>
          <w:left w:val="single" w:color="E8A33D" w:sz="18" w:space="8"/>
        </w:pBdr>
        <w:shd w:fill="FFF6DA" w:val="clear"/>
        <w:spacing w:after="200" w:before="120"/>
      </w:pPr>
      <w:r>
        <w:rPr>
          <w:i/>
          <w:iCs/>
          <w:sz w:val="19"/>
          <w:szCs w:val="19"/>
        </w:rPr>
        <w:t xml:space="preserve">특징: State 3 확률 급등(3-2절)이 그대로 실제 배분에 반영되면서, 채권은 단기채 중심에서 중장기 듀레이션 확대(10년물 15.6%→27.7%)로 급선회했고, 주식은 한국 비중이 한 주 만에 11.4%→19.4%로 급증했습니다. 이는 State 3의 순수 최적 비중(한국 31.8%, 미국 34.0%)에 가중치가 실리기 시작한 결과입니다. 다만 6절의 최근 코스피·반도체 급락 뉴스와는 방향이 엇갈리는 대목으로, 모델 신호와 실시간 시장 상황의 괴리에 유의할 필요가 있습니다.</w:t>
      </w:r>
    </w:p>
    <w:p>
      <w:pPr>
        <w:pStyle w:val="Heading1"/>
      </w:pPr>
      <w:r>
        <w:t xml:space="preserve">5. 유사 과거 레짐 분석</w:t>
      </w:r>
    </w:p>
    <w:p>
      <w:pPr>
        <w:spacing w:after="160"/>
      </w:pPr>
      <w:r>
        <w:t xml:space="preserve">현재 레짐과 가장 유사한 과거 시점 상위 10개를 최근 13주 State 확률 패턴의 코사인 유사도 기준으로 분석하였습니다.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500"/>
        <w:gridCol w:w="1200"/>
        <w:gridCol w:w="1200"/>
        <w:gridCol w:w="4426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순위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날짜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당시State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유사도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시장 맥락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2015-07-31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0.826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연준 첫 금리 인상(12월) 앞둔 관망, 미 경기 견조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2025-02-14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0.820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트럼프 2기 관세 불확실성 지속, 미 경기 회복세 유지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2016-05-20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0.817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브렉시트 국민투표 앞둔 관망, 연준 금리 인상 지연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2018-07-27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0.815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미중 무역전쟁 1라운드 본격화, 미 성장 견조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2025-09-12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0.813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연준 9/17 첫 금리 인하(2025년) 직전, 리스크관리성 완화 기대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2017-07-14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0.805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트럼프 1기 리플레이션 트레이드, 완만한 긴축 국면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2013-11-08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0.793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버냉키 테이퍼링 시사 이후 미 경기 회복 지속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2025-10-24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0.782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미중 무역 완화 기대·3분기 어닝 서프라이즈(87% 상회), 사상 최고치 경신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9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2017-10-06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0.779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트럼프 세제개편 기대, 연준 정상화 지속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10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2013-04-12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0.776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일본 아베노믹스 초기 엔저, EM 견조</w:t>
            </w:r>
          </w:p>
        </w:tc>
      </w:tr>
    </w:tbl>
    <w:p>
      <w:pPr>
        <w:pStyle w:val="Heading2"/>
      </w:pPr>
      <w:r>
        <w:t xml:space="preserve">유사 기간에서 도출되는 시사점</w:t>
      </w:r>
    </w:p>
    <w:p>
      <w:pPr>
        <w:spacing w:after="160"/>
      </w:pPr>
      <w:r>
        <w:t xml:space="preserve">패턴 요약: 상위 10개 중 9개가 State 3(미국 주도 강세) 시점으로, 앞서 3-2절에서 확인한 확률 역전 현상과 정확히 부합합니다.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연준 정책 변곡점 반복: 2015년(첫 인상 대기), 2013년(테이퍼링), 2025년 9월(첫 인하)까지 대부분 Fed 정책 전환 국면과 겹칩니다. 현재도 6월 17일 워시(Warsh) 신임 의장 체제의 매파적 동결(호킹시 홀드) 직후라는 점에서 유사합니다.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미국 경기 상대적 견조: 유럽·EM 대비 미국 모멘텀이 우위인 시기가 대부분이며, 현재도 미국 고용·성장 지표가 상대적으로 견조합니다.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강달러·엔화 강세 동반: 2018년 무역전쟁, 2013년 테이퍼 탠트럼 등 통화 긴축 우려가 부각된 시기와 유사한 환경입니다.</w:t>
      </w:r>
    </w:p>
    <w:p>
      <w:pPr>
        <w:pBdr>
          <w:left w:val="single" w:color="E8A33D" w:sz="18" w:space="8"/>
        </w:pBdr>
        <w:shd w:fill="FFF6DA" w:val="clear"/>
        <w:spacing w:after="200" w:before="120"/>
      </w:pPr>
      <w:r>
        <w:rPr>
          <w:i/>
          <w:iCs/>
          <w:sz w:val="19"/>
          <w:szCs w:val="19"/>
        </w:rPr>
        <w:t xml:space="preserve">가장 주목할 유사 사례 — 2025년 9월 12일(유사도 0.813): 약 10개월 전으로, Fed의 첫 금리 인하 직전 리스크관리 완화 기대가 반영된 시점입니다. 그러나 이후 2026년 6월 워시 의장 체제에서는 인하 기대가 인상 우려로 정반대 선회했다는 점에서, 유사한 패턴 속에서도 정책 방향성 리스크는 오히려 커진 상태임을 시사합니다.</w:t>
      </w:r>
    </w:p>
    <w:p>
      <w:pPr>
        <w:pStyle w:val="Heading1"/>
      </w:pPr>
      <w:r>
        <w:t xml:space="preserve">6. 뉴스 및 매크로 환경 분석</w:t>
      </w:r>
    </w:p>
    <w:p>
      <w:pPr>
        <w:pStyle w:val="Heading2"/>
      </w:pPr>
      <w:r>
        <w:t xml:space="preserve">6-1. 연준(Fed) 리더십 교체와 매파적 전환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6월 17일 FOMC: 케빈 워시(Kevin Warsh) 신임 의장 첫 회의에서 기준금리를 3.50~3.75%로 만장일치 동결. 성명서에서 통상적 포워드 가이던스를 제외하고 순수 데이터 의존으로 전환.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점도표 매파적 반전: 2026년말 금리 중간 전망치가 3월 3.4%→3.8%로 상향, 연내 인상을 내포하는 수준으로 반전. 위원 18명 중 9명이 최소 1회 인상을 전망.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BofA는 연내 0.25%p씩 3차례 인상(3.50~3.75%→4.25~4.50%)을 전망.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CPI(5월): 전년비 +4.2%로 2023년 4월 이후 최대 상승폭. 핵심 PCE도 3.5% 수준까지 상승 압력.</w:t>
      </w:r>
    </w:p>
    <w:p>
      <w:pPr>
        <w:pStyle w:val="Heading2"/>
      </w:pPr>
      <w:r>
        <w:t xml:space="preserve">6-2. 6월 고용지표 – 예상치 하회, 그러나 연준 기조는 유지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6월 비농업 고용 +5.7만명(예상 +11.3만명 대폭 하회), 4·5월도 합산 -7.4만명 하향 수정.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실업률은 4.3%→4.2%로 소폭 개선, 시간당 임금 +0.3%(전월), +3.5%(전년).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고용 서프라이즈에도 불구, 워시 의장의 인플레이션 경계 발언이 우선하며 시장은 여전히 10월 인상 가능성을 주시.</w:t>
      </w:r>
    </w:p>
    <w:p>
      <w:pPr>
        <w:pStyle w:val="Heading2"/>
      </w:pPr>
      <w:r>
        <w:t xml:space="preserve">6-3. AI 반도체 밸류에이션 조정 — 6월 말~7월 초 최대 이슈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6월 말부터 SK하이닉스의 HBM 증설 속도 조절 소식과 AI 인프라 투자 수익성 회의론이 겹치며 반도체 급락.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마이크론 -13%(시총 약 1,380억달러 증발), 인텔 -9%, AMD -7%, SMH(반도체 ETF) -5%(직전 2분기 +71% 급등 후 조정).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코스피는 장중 -10% 급락, 서킷브레이커 발동. SK하이닉스·삼성전자 각각 약 -12%.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7월 2일에도 낙폭 지속: 나스닥 장중 -0.8%, 다우는 사상 최고치(52,844pt, +1.03%) 경신하며 종목별 차별화 뚜렷.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미국 증시는 7월 3일(금) 독립기념일로 휴장.</w:t>
      </w:r>
    </w:p>
    <w:p>
      <w:pPr>
        <w:pStyle w:val="Heading2"/>
      </w:pPr>
      <w:r>
        <w:t xml:space="preserve">6-4. 채권·금리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미 10년물 국채금리는 7월 2일 4.5% 시험 후 4.47%로 소폭 하락, 워시 의장의 “인플레 리스크 완화” 발언 영향.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VIX는 16.59로 반도체 변동성에도 불구 상대적으로 안정적 수준 유지.</w:t>
      </w:r>
    </w:p>
    <w:p>
      <w:pPr>
        <w:pStyle w:val="Heading2"/>
      </w:pPr>
      <w:r>
        <w:t xml:space="preserve">6-5. 외환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달러인덱스(DXY) 100.9~101.4 구간, 매파적 연준 기대를 반영해 강세 유지.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원/달러 환율 1,550~1,560원대로 2009년 3월 이후 최약세 수준에 근접.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외국인, 코스피 주식 7.7조원 순매도를 7거래일 연속 이어가며 원화 약세 압력 가중. 5월 반도체 생산은 출하조정·기저효과로 -10% 급감.</w:t>
      </w:r>
    </w:p>
    <w:p>
      <w:pPr>
        <w:pStyle w:val="Heading2"/>
      </w:pPr>
      <w:r>
        <w:t xml:space="preserve">6-6. 원자재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금: 4,100달러/oz 상회, 직전 세션 +2% 상승 — 약한 고용지표로 인상 베팅이 일부 후퇴한 영향.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WTI: 68.5~70.5달러/배럴 — 2월 28일 발발한 이란-이스라엘 전쟁 종전 합의 이후 호르무즈해협 통항 정상화(사우디 수출 전쟁 전 대비 90% 회복, UAE 390만b/d 이상)로 하향 안정.</w:t>
      </w:r>
    </w:p>
    <w:p>
      <w:pPr>
        <w:pStyle w:val="Heading2"/>
      </w:pPr>
      <w:r>
        <w:t xml:space="preserve">6-7. 정책 리스크 – 관세 시한 임박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무역법 122조에 근거한 10% 일괄 관세가 7월 24일 만료 예정으로, 연장·종료 여부가 3분기 최대 정책 변수로 부각.</w:t>
      </w:r>
    </w:p>
    <w:p>
      <w:pPr>
        <w:pStyle w:val="Heading1"/>
      </w:pPr>
      <w:r>
        <w:t xml:space="preserve">7. 종합 의견</w:t>
      </w:r>
    </w:p>
    <w:p>
      <w:pPr>
        <w:pStyle w:val="Heading2"/>
      </w:pPr>
      <w:r>
        <w:t xml:space="preserve">현재 국면 진단</w:t>
      </w:r>
    </w:p>
    <w:p>
      <w:pPr>
        <w:spacing w:after="160"/>
      </w:pPr>
      <w:r>
        <w:t xml:space="preserve">모델의 확정 레짐 표기는 여전히 State 1(안정 성장)이나, 이는 신호 잡음을 걸러내는 히스테리시스 로직에 따른 지연 표기이며, 순수 확률은 이미 State 3(49.4%)로 역전되었습니다. 3주 연속 State 3 확률이 가파르게 상승(0.4%→22.0%→49.4%)하는 추세를 감안하면, 다음 주간 데이터에서 정식으로 State 3(미국 주도 강세)로 전환될 가능성이 높습니다.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모델·뉴스 정합성: 6월 17일 워시 의장 체제의 매파적 동결, 강달러(usd 요인 급등), 상대적으로 견조한 미국 모멘텀 등 뉴스 흐름은 모델이 포착한 State 3 회귀 신호와 방향이 일치합니다.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괴리 지점: 다만 실제 배분 비중에서 한국 비중이 급등(11.4%→19.4%)한 것은 State 3의 구조적 최적 비중을 반영한 결과이나, 같은 기간 코스피 급락·반도체 조정·외국인 순매도 지속이라는 실시간 뉴스와는 방향이 엇갈립니다. 모델은 주간 단위 모멘텀 지표 기반으로 후행적 성격이 있어, 반도체발 변동성이 다음 주 데이터에 미반영되었을 가능성에 유의해야 합니다.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State 2(위기) 재부상 경계: 2025년 3월 관세 충격, 2026년 2월 이란 전쟁 발발 사례처럼 지정학·정책 충격 시 State 2로의 급전환 이력이 반복되고 있습니다. 7월 24일 관세 시한, 10월 예상 Fed 인상 등 잠재 트리거가 다수 대기 중입니다.</w:t>
      </w:r>
    </w:p>
    <w:p>
      <w:pPr>
        <w:pStyle w:val="Heading2"/>
      </w:pPr>
      <w:r>
        <w:t xml:space="preserve">포트폴리오 전략 시사점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채권: 단기채 비중이 급격히 축소(43%→24.5%)되고 중장기 듀레이션이 확대되는 추세. State 3 전환이 확정될 경우 5년물·30년물 중심 배분(State3 순수비중: 5Y 33.8%, 30Y 24.4%)으로 추가 이동 가능성.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주식: 미국·일본 비중 우위 기조는 유지되나, 한국 비중 확대는 최근 반도체·코스피 변동성을 감안해 보수적으로 접근할 필요.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금/원유: WTI 비중이 급감(18.7%→13.3%)했는데, 이는 이란 전쟁 종전에 따른 유가 안정화와 부합. 금 비중도 완만히 축소(21.8%→20.6%) 중이나 여전히 상단 캡(25%)에 근접한 높은 수준 유지.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리스크 시나리오: (1) 7월 24일 관세 만료 후 재부과·확전 시 State 2 전환 리스크, (2) 10월 FOMC에서 실제 인상 단행 시 State 3 강화 및 신흥국·한국 자산 추가 약세 압력, (3) AI 밸류에이션 조정이 심화될 경우 모델이 아직 포착하지 못한 하방 리스크 확대 가능성에 대비 필요.</w:t>
      </w:r>
    </w:p>
    <w:p>
      <w:pPr>
        <w:pStyle w:val="Heading1"/>
      </w:pPr>
      <w:r>
        <w:t xml:space="preserve">8. 참고 자료 및 출처</w:t>
      </w:r>
    </w:p>
    <w:p>
      <w:pPr>
        <w:spacing w:after="60"/>
      </w:pPr>
      <w:hyperlink w:history="1" r:id="rIdtyhqf02htzvwnarzsui9g">
        <w:r>
          <w:rPr>
            <w:rStyle w:val="Hyperlink"/>
            <w:sz w:val="18"/>
            <w:szCs w:val="18"/>
          </w:rPr>
          <w:t xml:space="preserve">Yahoo Finance — Stock market today (July 2, 2026)</w:t>
        </w:r>
      </w:hyperlink>
    </w:p>
    <w:p>
      <w:pPr>
        <w:spacing w:after="60"/>
      </w:pPr>
      <w:hyperlink w:history="1" r:id="rIdh-rk6r_0nrwnagbksctky">
        <w:r>
          <w:rPr>
            <w:rStyle w:val="Hyperlink"/>
            <w:sz w:val="18"/>
            <w:szCs w:val="18"/>
          </w:rPr>
          <w:t xml:space="preserve">Yahoo Finance — Nasdaq plunges as jobs report fuels Fed hike bets</w:t>
        </w:r>
      </w:hyperlink>
    </w:p>
    <w:p>
      <w:pPr>
        <w:spacing w:after="60"/>
      </w:pPr>
      <w:hyperlink w:history="1" r:id="rIdhqshc4ujmgcldvimjj706">
        <w:r>
          <w:rPr>
            <w:rStyle w:val="Hyperlink"/>
            <w:sz w:val="18"/>
            <w:szCs w:val="18"/>
          </w:rPr>
          <w:t xml:space="preserve">TheStreet — Dow closes at all-time high ahead of Independence Day (July 2, 2026)</w:t>
        </w:r>
      </w:hyperlink>
    </w:p>
    <w:p>
      <w:pPr>
        <w:spacing w:after="60"/>
      </w:pPr>
      <w:hyperlink w:history="1" r:id="rIdvxd6xbgxy9tdt420vo1cc">
        <w:r>
          <w:rPr>
            <w:rStyle w:val="Hyperlink"/>
            <w:sz w:val="18"/>
            <w:szCs w:val="18"/>
          </w:rPr>
          <w:t xml:space="preserve">24/7 Wall St. — Stock Market Live July 2, 2026</w:t>
        </w:r>
      </w:hyperlink>
    </w:p>
    <w:p>
      <w:pPr>
        <w:spacing w:after="60"/>
      </w:pPr>
      <w:hyperlink w:history="1" r:id="rIdur51wgfos2clauj7evfiq">
        <w:r>
          <w:rPr>
            <w:rStyle w:val="Hyperlink"/>
            <w:sz w:val="18"/>
            <w:szCs w:val="18"/>
          </w:rPr>
          <w:t xml:space="preserve">CNBC — Fed interest rate decision June 2026</w:t>
        </w:r>
      </w:hyperlink>
    </w:p>
    <w:p>
      <w:pPr>
        <w:spacing w:after="60"/>
      </w:pPr>
      <w:hyperlink w:history="1" r:id="rIdqwm0uynnbb4whdumy23hm">
        <w:r>
          <w:rPr>
            <w:rStyle w:val="Hyperlink"/>
            <w:sz w:val="18"/>
            <w:szCs w:val="18"/>
          </w:rPr>
          <w:t xml:space="preserve">CNN Business — Fed leaves rates unchanged, signals higher rates ahead</w:t>
        </w:r>
      </w:hyperlink>
    </w:p>
    <w:p>
      <w:pPr>
        <w:spacing w:after="60"/>
      </w:pPr>
      <w:hyperlink w:history="1" r:id="rIdvnjr_rgypomjx8aoegq1f">
        <w:r>
          <w:rPr>
            <w:rStyle w:val="Hyperlink"/>
            <w:sz w:val="18"/>
            <w:szCs w:val="18"/>
          </w:rPr>
          <w:t xml:space="preserve">StockTitan — Fed Holds Rates June 2026; Dot Plot Flips to a Hike</w:t>
        </w:r>
      </w:hyperlink>
    </w:p>
    <w:p>
      <w:pPr>
        <w:spacing w:after="60"/>
      </w:pPr>
      <w:hyperlink w:history="1" r:id="rIdfm6i8hcqub8b9syhhfzxc">
        <w:r>
          <w:rPr>
            <w:rStyle w:val="Hyperlink"/>
            <w:sz w:val="18"/>
            <w:szCs w:val="18"/>
          </w:rPr>
          <w:t xml:space="preserve">Fortune — BofA sees series of Fed rate hikes this year</w:t>
        </w:r>
      </w:hyperlink>
    </w:p>
    <w:p>
      <w:pPr>
        <w:spacing w:after="60"/>
      </w:pPr>
      <w:hyperlink w:history="1" r:id="rIdaibuaptgumgp4vqr1d5i0">
        <w:r>
          <w:rPr>
            <w:rStyle w:val="Hyperlink"/>
            <w:sz w:val="18"/>
            <w:szCs w:val="18"/>
          </w:rPr>
          <w:t xml:space="preserve">TheStreet — Warsh drops inflation bombshell</w:t>
        </w:r>
      </w:hyperlink>
    </w:p>
    <w:p>
      <w:pPr>
        <w:spacing w:after="60"/>
      </w:pPr>
      <w:hyperlink w:history="1" r:id="rIdrgl51mfpyi7s7qhmb2aas">
        <w:r>
          <w:rPr>
            <w:rStyle w:val="Hyperlink"/>
            <w:sz w:val="18"/>
            <w:szCs w:val="18"/>
          </w:rPr>
          <w:t xml:space="preserve">Federal Reserve — FOMC statement June 17 2026</w:t>
        </w:r>
      </w:hyperlink>
    </w:p>
    <w:p>
      <w:pPr>
        <w:spacing w:after="60"/>
      </w:pPr>
      <w:hyperlink w:history="1" r:id="rIdu4izpmyohww0n9bvpift-">
        <w:r>
          <w:rPr>
            <w:rStyle w:val="Hyperlink"/>
            <w:sz w:val="18"/>
            <w:szCs w:val="18"/>
          </w:rPr>
          <w:t xml:space="preserve">Intellectia — AI Chip Stocks Plunge: Valuation Concerns (July 2026)</w:t>
        </w:r>
      </w:hyperlink>
    </w:p>
    <w:p>
      <w:pPr>
        <w:spacing w:after="60"/>
      </w:pPr>
      <w:hyperlink w:history="1" r:id="rId-bjlb3jv6rdpsjju2nmdf">
        <w:r>
          <w:rPr>
            <w:rStyle w:val="Hyperlink"/>
            <w:sz w:val="18"/>
            <w:szCs w:val="18"/>
          </w:rPr>
          <w:t xml:space="preserve">Fortune — Micron reversed the global tech selloff, exposed AI's 'memory tax'</w:t>
        </w:r>
      </w:hyperlink>
    </w:p>
    <w:p>
      <w:pPr>
        <w:spacing w:after="60"/>
      </w:pPr>
      <w:hyperlink w:history="1" r:id="rIdrm_8kjpvsou71itpjiztj">
        <w:r>
          <w:rPr>
            <w:rStyle w:val="Hyperlink"/>
            <w:sz w:val="18"/>
            <w:szCs w:val="18"/>
          </w:rPr>
          <w:t xml:space="preserve">NBC News — Global tech sell-off intensifies, led by AI and chip stocks</w:t>
        </w:r>
      </w:hyperlink>
    </w:p>
    <w:p>
      <w:pPr>
        <w:spacing w:after="60"/>
      </w:pPr>
      <w:hyperlink w:history="1" r:id="rIdavszz38toeksgiaxmvxbs">
        <w:r>
          <w:rPr>
            <w:rStyle w:val="Hyperlink"/>
            <w:sz w:val="18"/>
            <w:szCs w:val="18"/>
          </w:rPr>
          <w:t xml:space="preserve">CNBC — Gold drops as rising yields, dollar sap appeal</w:t>
        </w:r>
      </w:hyperlink>
    </w:p>
    <w:p>
      <w:pPr>
        <w:spacing w:after="60"/>
      </w:pPr>
      <w:hyperlink w:history="1" r:id="rId42nb85w1klxg_pvuh3xcp">
        <w:r>
          <w:rPr>
            <w:rStyle w:val="Hyperlink"/>
            <w:sz w:val="18"/>
            <w:szCs w:val="18"/>
          </w:rPr>
          <w:t xml:space="preserve">CNBC — Oil prices fall as more tankers exit Strait of Hormuz</w:t>
        </w:r>
      </w:hyperlink>
    </w:p>
    <w:p>
      <w:pPr>
        <w:spacing w:after="60"/>
      </w:pPr>
      <w:hyperlink w:history="1" r:id="rIdkoil-8qc50pzxuxtcheyo">
        <w:r>
          <w:rPr>
            <w:rStyle w:val="Hyperlink"/>
            <w:sz w:val="18"/>
            <w:szCs w:val="18"/>
          </w:rPr>
          <w:t xml:space="preserve">CNBC — Oil prices rise as U.S. and Iran reach deal to halt attacks</w:t>
        </w:r>
      </w:hyperlink>
    </w:p>
    <w:p>
      <w:pPr>
        <w:spacing w:after="60"/>
      </w:pPr>
      <w:hyperlink w:history="1" r:id="rIdduhjbedqsmt0f8pbxwt6k">
        <w:r>
          <w:rPr>
            <w:rStyle w:val="Hyperlink"/>
            <w:sz w:val="18"/>
            <w:szCs w:val="18"/>
          </w:rPr>
          <w:t xml:space="preserve">Al Jazeera — Oil prices back to pre-war levels on rising Middle East supply</w:t>
        </w:r>
      </w:hyperlink>
    </w:p>
    <w:p>
      <w:pPr>
        <w:spacing w:after="60"/>
      </w:pPr>
      <w:hyperlink w:history="1" r:id="rIdobroeaumitd9ksdx2fy31">
        <w:r>
          <w:rPr>
            <w:rStyle w:val="Hyperlink"/>
            <w:sz w:val="18"/>
            <w:szCs w:val="18"/>
          </w:rPr>
          <w:t xml:space="preserve">Dallas Fed — The Impact of the 2026 Iran War on U.S. Inflation</w:t>
        </w:r>
      </w:hyperlink>
    </w:p>
    <w:p>
      <w:pPr>
        <w:spacing w:after="60"/>
      </w:pPr>
      <w:hyperlink w:history="1" r:id="rIde0j_aonxjyaono3b8njj-">
        <w:r>
          <w:rPr>
            <w:rStyle w:val="Hyperlink"/>
            <w:sz w:val="18"/>
            <w:szCs w:val="18"/>
          </w:rPr>
          <w:t xml:space="preserve">Investing.com(KR) — USD/KRW 환율</w:t>
        </w:r>
      </w:hyperlink>
    </w:p>
    <w:p>
      <w:pPr>
        <w:spacing w:after="60"/>
      </w:pPr>
      <w:hyperlink w:history="1" r:id="rIdlw9l1afhliaue-phbrqvg">
        <w:r>
          <w:rPr>
            <w:rStyle w:val="Hyperlink"/>
            <w:sz w:val="18"/>
            <w:szCs w:val="18"/>
          </w:rPr>
          <w:t xml:space="preserve">하나은행 — 2026년 외환시장 전망</w:t>
        </w:r>
      </w:hyperlink>
    </w:p>
    <w:p>
      <w:pPr>
        <w:spacing w:after="60"/>
      </w:pPr>
      <w:hyperlink w:history="1" r:id="rId3jo6vqupgi-tjgaqefvlc">
        <w:r>
          <w:rPr>
            <w:rStyle w:val="Hyperlink"/>
            <w:sz w:val="18"/>
            <w:szCs w:val="18"/>
          </w:rPr>
          <w:t xml:space="preserve">Investing.com — July Market Outlook: Tariffs, Trade and the Next Inflation Test</w:t>
        </w:r>
      </w:hyperlink>
    </w:p>
    <w:p>
      <w:pPr>
        <w:spacing w:after="60"/>
      </w:pPr>
      <w:hyperlink w:history="1" r:id="rId9p_fx8mi8b4kg6issge1f">
        <w:r>
          <w:rPr>
            <w:rStyle w:val="Hyperlink"/>
            <w:sz w:val="18"/>
            <w:szCs w:val="18"/>
          </w:rPr>
          <w:t xml:space="preserve">CNN — Fed rate cut September 2025 (risk-management cut)</w:t>
        </w:r>
      </w:hyperlink>
    </w:p>
    <w:p>
      <w:pPr>
        <w:spacing w:after="60"/>
      </w:pPr>
      <w:hyperlink w:history="1" r:id="rId9_gjdeealg-gctobksj43">
        <w:r>
          <w:rPr>
            <w:rStyle w:val="Hyperlink"/>
            <w:sz w:val="18"/>
            <w:szCs w:val="18"/>
          </w:rPr>
          <w:t xml:space="preserve">FactSet — S&amp;P 500 Earnings Season Update (Oct 24 2025)</w:t>
        </w:r>
      </w:hyperlink>
    </w:p>
    <w:p>
      <w:pPr>
        <w:pBdr>
          <w:bottom w:val="single" w:color="2E5A8C" w:sz="6" w:space="1"/>
        </w:pBdr>
        <w:spacing w:after="200" w:before="200"/>
      </w:pPr>
    </w:p>
    <w:p>
      <w:pPr>
        <w:spacing w:before="200"/>
      </w:pPr>
      <w:r>
        <w:rPr>
          <w:i/>
          <w:iCs/>
          <w:color w:val="777777"/>
          <w:sz w:val="18"/>
          <w:szCs w:val="18"/>
        </w:rPr>
        <w:t xml:space="preserve">본 분석은 HMM 기반 레짐 분류 모델과 공개 시장 데이터를 활용한 정량적 분석이며, 투자 결정의 참고 자료로만 활용하시기 바랍니다.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120"/>
      <w:outlineLvl w:val="0"/>
    </w:pPr>
    <w:rPr>
      <w:rFonts w:ascii="맑은 고딕" w:cs="맑은 고딕" w:eastAsia="맑은 고딕" w:hAnsi="맑은 고딕"/>
      <w:b/>
      <w:bCs/>
      <w:color w:val="1B3A5C"/>
      <w:sz w:val="40"/>
      <w:szCs w:val="40"/>
    </w:rPr>
  </w:style>
  <w:style w:type="paragraph" w:styleId="Heading1">
    <w:name w:val="Heading 1"/>
    <w:basedOn w:val="Normal"/>
    <w:next w:val="Normal"/>
    <w:qFormat/>
    <w:pPr>
      <w:pBdr>
        <w:bottom w:val="single" w:color="2E5A8C" w:sz="6" w:space="4"/>
      </w:pBdr>
      <w:spacing w:after="160" w:before="320"/>
      <w:outlineLvl w:val="0"/>
    </w:pPr>
    <w:rPr>
      <w:rFonts w:ascii="맑은 고딕" w:cs="맑은 고딕" w:eastAsia="맑은 고딕" w:hAnsi="맑은 고딕"/>
      <w:b/>
      <w:bCs/>
      <w:color w:val="1B3A5C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맑은 고딕" w:cs="맑은 고딕" w:eastAsia="맑은 고딕" w:hAnsi="맑은 고딕"/>
      <w:b/>
      <w:bCs/>
      <w:color w:val="2E5A8C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맑은 고딕" w:cs="맑은 고딕" w:eastAsia="맑은 고딕" w:hAnsi="맑은 고딕"/>
      <w:b/>
      <w:bCs/>
      <w:color w:val="444444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tyhqf02htzvwnarzsui9g" Type="http://schemas.openxmlformats.org/officeDocument/2006/relationships/hyperlink" Target="https://finance.yahoo.com/markets/live/stock-market-today-thursday-july-2-223136955.html" TargetMode="External"/><Relationship Id="rIdh-rk6r_0nrwnagbksctky" Type="http://schemas.openxmlformats.org/officeDocument/2006/relationships/hyperlink" Target="https://finance.yahoo.com/markets/live/stock-market-today-dow-sp-500-nasdaq-sink-as-jobs-report-fuels-fed-hike-bets-chip-stocks-sell-off-230134285.html" TargetMode="External"/><Relationship Id="rIdhqshc4ujmgcldvimjj706" Type="http://schemas.openxmlformats.org/officeDocument/2006/relationships/hyperlink" Target="https://www.thestreet.com/stock-market-today/stock-market-today-dow-jones-sp-500-nasdaq-updates-july-2-2026" TargetMode="External"/><Relationship Id="rIdvxd6xbgxy9tdt420vo1cc" Type="http://schemas.openxmlformats.org/officeDocument/2006/relationships/hyperlink" Target="https://247wallst.com/investing/2026/07/02/stock-market-live-july-2-2026-sp-500-spy-flat-with-new-jobs-data/" TargetMode="External"/><Relationship Id="rIdur51wgfos2clauj7evfiq" Type="http://schemas.openxmlformats.org/officeDocument/2006/relationships/hyperlink" Target="https://www.cnbc.com/2026/06/17/fed-interest-rate-decision-june-2026.html" TargetMode="External"/><Relationship Id="rIdqwm0uynnbb4whdumy23hm" Type="http://schemas.openxmlformats.org/officeDocument/2006/relationships/hyperlink" Target="https://www.cnn.com/2026/06/17/business/live-news/federal-reserve-interest-rate-kevin-warsh" TargetMode="External"/><Relationship Id="rIdvnjr_rgypomjx8aoegq1f" Type="http://schemas.openxmlformats.org/officeDocument/2006/relationships/hyperlink" Target="https://www.stocktitan.net/articles/fed-rate-decision-june-17-2026" TargetMode="External"/><Relationship Id="rIdfm6i8hcqub8b9syhhfzxc" Type="http://schemas.openxmlformats.org/officeDocument/2006/relationships/hyperlink" Target="https://fortune.com/2026/06/22/fed-rate-hikes-outlook-sticky-inflation-kevin-warsh-job-growth-oil-prices/" TargetMode="External"/><Relationship Id="rIdaibuaptgumgp4vqr1d5i0" Type="http://schemas.openxmlformats.org/officeDocument/2006/relationships/hyperlink" Target="https://www.thestreet.com/fed/markets-warsh-inflation-fed-interest-rate-outlook" TargetMode="External"/><Relationship Id="rIdrgl51mfpyi7s7qhmb2aas" Type="http://schemas.openxmlformats.org/officeDocument/2006/relationships/hyperlink" Target="https://www.federalreserve.gov/newsevents/pressreleases/monetary20260617a.htm" TargetMode="External"/><Relationship Id="rIdu4izpmyohww0n9bvpift-" Type="http://schemas.openxmlformats.org/officeDocument/2006/relationships/hyperlink" Target="https://intellectia.ai/blog/ai-chip-stocks-valuation-concerns-july-2026" TargetMode="External"/><Relationship Id="rId-bjlb3jv6rdpsjju2nmdf" Type="http://schemas.openxmlformats.org/officeDocument/2006/relationships/hyperlink" Target="https://fortune.com/2026/06/25/why-did-stock-market-tech-selloff-stop-micron-technology/" TargetMode="External"/><Relationship Id="rIdrm_8kjpvsou71itpjiztj" Type="http://schemas.openxmlformats.org/officeDocument/2006/relationships/hyperlink" Target="https://www.nbcnews.com/business/business-news/tech-sell-off-markets-spacex-alphabet-nasdaq100-stocks-rcna351331" TargetMode="External"/><Relationship Id="rIdavszz38toeksgiaxmvxbs" Type="http://schemas.openxmlformats.org/officeDocument/2006/relationships/hyperlink" Target="https://www.cnbc.com/2026/05/15/gold-drops-as-rising-yields-dollar-sap-appeal-inflation-woes-linger.html" TargetMode="External"/><Relationship Id="rId42nb85w1klxg_pvuh3xcp" Type="http://schemas.openxmlformats.org/officeDocument/2006/relationships/hyperlink" Target="https://www.cnbc.com/2026/06/26/oil-prices-middle-east-iran-strait-of-hormuz-opec-iraq-wti-brent-crude.html" TargetMode="External"/><Relationship Id="rIdkoil-8qc50pzxuxtcheyo" Type="http://schemas.openxmlformats.org/officeDocument/2006/relationships/hyperlink" Target="https://www.cnbc.com/2026/06/29/oil-prices-wti-brent-crude-us-iran-strikes-strait-hormuz-talks.html" TargetMode="External"/><Relationship Id="rIdduhjbedqsmt0f8pbxwt6k" Type="http://schemas.openxmlformats.org/officeDocument/2006/relationships/hyperlink" Target="https://www.aljazeera.com/news/2026/6/25/oil-prices-back-to-pre-war-levels-on-rising-middle-east-supply" TargetMode="External"/><Relationship Id="rIdobroeaumitd9ksdx2fy31" Type="http://schemas.openxmlformats.org/officeDocument/2006/relationships/hyperlink" Target="https://www.dallasfed.org/~/media/documents/research/papers/2026/wp2609.pdf" TargetMode="External"/><Relationship Id="rIde0j_aonxjyaono3b8njj-" Type="http://schemas.openxmlformats.org/officeDocument/2006/relationships/hyperlink" Target="https://kr.investing.com/currencies/usd-krw" TargetMode="External"/><Relationship Id="rIdlw9l1afhliaue-phbrqvg" Type="http://schemas.openxmlformats.org/officeDocument/2006/relationships/hyperlink" Target="https://biz.kebhana.com/cont/hanafx/file/2026FX.pdf" TargetMode="External"/><Relationship Id="rId3jo6vqupgi-tjgaqefvlc" Type="http://schemas.openxmlformats.org/officeDocument/2006/relationships/hyperlink" Target="https://www.investing.com/analysis/july-market-outlook-tariffs-trade-and-the-next-inflation-test-200682939" TargetMode="External"/><Relationship Id="rId9p_fx8mi8b4kg6issge1f" Type="http://schemas.openxmlformats.org/officeDocument/2006/relationships/hyperlink" Target="https://www.cnn.com/2025/09/22/economy/stock-market-record-highs-fed-rate-cut" TargetMode="External"/><Relationship Id="rId9_gjdeealg-gctobksj43" Type="http://schemas.openxmlformats.org/officeDocument/2006/relationships/hyperlink" Target="https://insight.factset.com/sp-500-earnings-season-update-october-24-2025" TargetMode="External"/><Relationship Id="rId3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2026-07-03T05:52:58.814Z</dcterms:created>
  <dcterms:modified xsi:type="dcterms:W3CDTF">2026-07-03T05:52:58.814Z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