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맑은 고딕" w:hAnsi="맑은 고딕" w:eastAsia="맑은 고딕"/>
          <w:color w:val="505050"/>
          <w:sz w:val="28"/>
        </w:rPr>
        <w:t>조직 운영 공식 규정</w:t>
      </w:r>
    </w:p>
    <w:p>
      <w:pPr>
        <w:spacing w:after="800"/>
        <w:jc w:val="center"/>
      </w:pPr>
      <w:r>
        <w:rPr>
          <w:rFonts w:ascii="맑은 고딕" w:hAnsi="맑은 고딕" w:eastAsia="맑은 고딕"/>
          <w:b/>
          <w:color w:val="1F3A68"/>
          <w:sz w:val="44"/>
        </w:rPr>
        <w:t>직책별 업무분장 및 업무 조율 규정</w:t>
      </w:r>
    </w:p>
    <w:p>
      <w:pPr>
        <w:spacing w:after="600"/>
        <w:jc w:val="center"/>
      </w:pPr>
      <w:r>
        <w:rPr>
          <w:rFonts w:ascii="맑은 고딕" w:hAnsi="맑은 고딕" w:eastAsia="맑은 고딕"/>
          <w:color w:val="707070"/>
          <w:sz w:val="26"/>
        </w:rPr>
        <w:t>(전면 개정판 v2.0)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24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문서명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직책별 업무분장 및 업무 조율 규정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문서번호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ORG-OPS-001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v2.0 (전면 개정)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이전 버전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v1.0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제정일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최초 제정일 기재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개정일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2026-04-23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시행일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2026-__-__ (부장 승인 후)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차기 검토일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2026-10-23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승인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</w:t>
            </w:r>
          </w:p>
        </w:tc>
      </w:tr>
      <w:tr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적용 범위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부장·총무·과장·서무 및 관련 업무 전반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공개 범위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내부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◆ 개정 이력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247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4989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개정 내용</w:t>
            </w:r>
          </w:p>
        </w:tc>
        <w:tc>
          <w:tcPr>
            <w:tcW w:type="dxa" w:w="215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작성/승인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v1.0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최초</w:t>
            </w:r>
          </w:p>
        </w:tc>
        <w:tc>
          <w:tcPr>
            <w:tcW w:type="dxa" w:w="49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직책별 업무분장표 및 조율 3단계 원칙 제정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작성: 총무 / 승인: 부장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v2.0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2026-04-23</w:t>
            </w:r>
          </w:p>
        </w:tc>
        <w:tc>
          <w:tcPr>
            <w:tcW w:type="dxa" w:w="49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 1차 조율 권한 추가 / 조율 SLA 명시 / 긴급도 등급 및 대응 SLA 신설 /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예산 한도 및 의사결정 권한 체계 신설 / 부재 대행 2순위 고정 /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회의체 규정 / 근무외 대응 / 기록·보안 조항 / 이의제기·개정 절차 신설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작성: 총무 / 승인: 부장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제1장 총칙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제1조 (목적)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본 규정은 부서의 직책별 역할과 책임, 업무 조율 체계, 의사결정 권한, 비상 대응 기준을 명확히 하여 업무 중복·누락·지연을 방지하고 예측 가능한 조직 운영을 확보하는 것을 목적으로 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제2조 (적용 범위)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본 규정은 부장·총무·과장·서무 및 이들을 대행하는 자에게 적용한다.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계약직·파견·위탁 인력의 경우에도 본 규정에서 정한 보고·조율·보안 원칙을 준용한다.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본 규정과 상위 규정(회사 취업규칙·단체협약 등)이 충돌할 경우 상위 규정을 우선한다.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제3조 (용어의 정의)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59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부서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본 규정이 적용되는 최상위 조직 단위. 부장이 총괄한다.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하위 실행 단위. 과장이 운영을 책임진다.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직책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부장·총무·과장·서무 등 본 규정에서 정한 공식 역할.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상신(上申)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실무선에서 해결하지 못하거나 권한을 초과한 사안을 상위 직책에게 공식 보고하여 판단을 요청하는 행위.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조율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복수 담당자·과 간의 일정·인력·자원·우선순위 불일치를 합의 가능한 형태로 정리하는 활동.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행사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차원에서 주관·참여하는 대외 또는 내부 공식 이벤트. 소요 인력·일정·예산이 일상 업무 수준을 초과하는 건을 말한다.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긴급도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사안의 파급력과 요구 대응 속도에 따라 본 규정에서 분류한 등급(Critical/High/Normal/Low).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근무외 시간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평일 18:00~익일 09:00, 주말, 공휴일 전일.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SLA</w:t>
            </w:r>
          </w:p>
        </w:tc>
        <w:tc>
          <w:tcPr>
            <w:tcW w:type="dxa" w:w="759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각 업무·보고·조율에 대해 본 규정에서 정한 최대 소요 시간 기준(Service Level Agreement).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제4조 (기본 원칙)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실무 우선 조율 : 업무 조율은 가장 실무에 가까운 단계에서 우선 수행한다.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단계별 상신 : 실무선에서 해결되지 않는 사안만 상위 단계에 상신한다.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명확한 기한 : 모든 조율·보고에는 본 규정에서 정한 SLA를 적용한다.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기록 중심 운영 : 주요 조율 결과·의사결정은 서면으로 기록·보관한다.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권한 명확성 : 각 직책의 의사결정 권한은 본 규정의 한도를 초과하지 않는다.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상호 존중 : 조율 과정에서 타 직책의 전문성과 입장을 존중한다.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제2장 직책별 업무분장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제5조 (직책별 역할·책임·업무)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  <w:tc>
          <w:tcPr>
            <w:tcW w:type="dxa" w:w="170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 정의</w:t>
            </w:r>
          </w:p>
        </w:tc>
        <w:tc>
          <w:tcPr>
            <w:tcW w:type="dxa" w:w="192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책임</w:t>
            </w:r>
          </w:p>
        </w:tc>
        <w:tc>
          <w:tcPr>
            <w:tcW w:type="dxa" w:w="260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업무</w:t>
            </w:r>
          </w:p>
        </w:tc>
        <w:tc>
          <w:tcPr>
            <w:tcW w:type="dxa" w:w="215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보고 대상 / 시점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부장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전체 운영을 총괄하는 최고 책임자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운영 전반 최종 책임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주요 의사결정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대외 대표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운영 방향 수립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주요 계획 최종 승인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인력·예산 최종 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대외 공식 창구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회의 주관 및 최종 결론 정리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상위 조직 보고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상위 책임자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정기회의 및 주요 현안 발생 시 즉시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전후 종합 보고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총무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부장을 보좌하며 부서 전체 실무를 조정·관리하는 운영 책임자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 지시 실행화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부서 간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일정·진행현황 관리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과장·서무 업무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회의 운영 및 진행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보고서 1차 검토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공지 전달 및 실행 확인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준비 실무 총괄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미완료 사항 추적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주간 정기보고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주요 변경 수시보고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전 준비상황 보고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과장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담당 과의 업무 실행과 현장 운영을 책임지는 실행 책임자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담당 과의 계획·인력·실행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현장 문제 1차 대응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담당 과 세부업무 계획 수립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과 내 업무 분배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현장 운영 준비 및 실행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진행상황 점검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문제 발생 시 즉시 조치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총무에게 진행상황 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사후 정리 및 결과 보고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주간 진행보고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문제 발생 즉시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전후 점검·결과 보고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서무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문서·기록·자료·행정 지원을 담당하는 관리 책임자이자 기록·자료 영역의 1차 조율 책임자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문서·기록·자료 관리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일정·명단·연락망 유지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기록·자료 영역 1차 조율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회의록 작성 및 보관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보고서 취합 및 정리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일정표·명단·연락망 관리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공지문 초안 정리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자료·기록 정리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조율 결과 공식 기록 관리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인수인계 자료 정리</w:t>
            </w:r>
          </w:p>
        </w:tc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회의 직후 / 보고 마감 시점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전 자료 준비 완료 시점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후 기록 정리 시점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제6조 (역할 경계의 원칙)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보고서 : 취합·정리는 서무, 내용 검토와 논리 판단은 총무, 최종 승인은 부장이 담당한다.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행사 운영 : 전체 일정·타 과 협조·공식 창구는 총무, 담당 구역의 실행·현장 통솔은 과장, 기록·자료·명단은 서무가 담당한다.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공지 : 초안 정리는 서무, 내용 확정과 발송 권한은 총무, 대외 공식 발송은 부장 승인 후 발송한다.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대외 접촉 : 비공식 실무 협의는 해당 과장이 수행할 수 있으나, 공식 문서·계약·협약은 부장 승인을 거친다.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제3장 업무 조율 체계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제7조 (조율 단계)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업무 조율은 다음 4단계로 운영한다. 각 단계는 본 규정의 SLA 내에 해결되지 않으면 다음 단계로 자동 상신한다.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13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조율 책임자</w:t>
            </w:r>
          </w:p>
        </w:tc>
        <w:tc>
          <w:tcPr>
            <w:tcW w:type="dxa" w:w="4309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조율 범위</w:t>
            </w:r>
          </w:p>
        </w:tc>
        <w:tc>
          <w:tcPr>
            <w:tcW w:type="dxa" w:w="226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 SLA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1차 (실무 과별)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과장</w:t>
            </w:r>
          </w:p>
        </w:tc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자기 과 내부 업무 배분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현장 운영·일정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타 과와 연결되는 실무 협조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1차 문제 대응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영업일 기준 24시간 이내 결론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1차 (기록·자료)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문서·자료·명단·연락망 영역의 불일치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보고서 취합·정합성 문제 1차 해결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영업일 기준 24시간 이내 결론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2차 (부서 전체)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 간 일정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부서 간 협조 연결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미완료 업무 정리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행사 준비 순서 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상신 사안 정리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영업일 기준 48시간 이내 결론 또는 상신</w:t>
            </w:r>
          </w:p>
        </w:tc>
      </w:tr>
      <w:tr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최종 (전략·권한)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</w:t>
            </w:r>
          </w:p>
        </w:tc>
        <w:tc>
          <w:tcPr>
            <w:tcW w:type="dxa" w:w="430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간 충돌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인력·자원 재배치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업무 우선순위 결정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책임 소재 확정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대외 영향 사안 판단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영업일 기준 72시간 이내 결론 또는 서면 보류 결정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제8조 (상신 기준)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1차 조율 단계에서 SLA 내 결론이 나지 않은 사안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인력·시간·예산의 재배치가 필요한 사안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업무 우선순위 변경이 필요한 사안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규정 해석에 이견이 있는 사안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대외 영향 또는 책임 소재가 걸린 사안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반복적으로 발생하여 제도적 개선이 필요한 사안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위 사안은 모두 총무를 경유하여 부장에게 상신한다. 상신 시에는 "현상·원인·대안·실무 권고안"을 서면으로 정리하여 제출한다.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제9조 (운영 원칙)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단순 전달에 그치지 않고 해결 가능한 수준까지 조정한 후 상신한다.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상위자는 세부 실무를 직접 조정하기보다 기준·방향을 제시하고 최종 판단을 내린다.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조율 결과는 관련 담당자 전원에게 명확히 공유하고, 서무가 공식 기록으로 보관한다.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반복 발생 문제는 원인을 분석하여 규정 개정 또는 프로세스 개선으로 이어간다.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제4장 의사결정 권한 및 한도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제10조 (예산 집행 권한)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다음 한도는 단일 건 기준이며, 사전 승인 대상 외에는 집행 후 차주 정기회의에서 사후 보고한다. 구체 금액은 부서 실정에 맞게 부장이 확정한다.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  <w:tc>
          <w:tcPr>
            <w:tcW w:type="dxa" w:w="3855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사전 승인 없이 집행 가능</w:t>
            </w:r>
          </w:p>
        </w:tc>
        <w:tc>
          <w:tcPr>
            <w:tcW w:type="dxa" w:w="272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사전 승인 필요</w:t>
            </w:r>
          </w:p>
        </w:tc>
        <w:tc>
          <w:tcPr>
            <w:tcW w:type="dxa" w:w="181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서무</w:t>
            </w:r>
          </w:p>
        </w:tc>
        <w:tc>
          <w:tcPr>
            <w:tcW w:type="dxa" w:w="38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소모품·복사·택배 등 일상 행정비 (예: 건당 3만원 이하)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초과 금액 또는 목적외 사용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통합 승인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과장</w:t>
            </w:r>
          </w:p>
        </w:tc>
        <w:tc>
          <w:tcPr>
            <w:tcW w:type="dxa" w:w="38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 운영에 필요한 실무 비용 (예: 건당 10만원 이하, 월 누계 50만원 이하)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초과 금액, 외부 계약, 인건비성 지출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사전 통지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총무</w:t>
            </w:r>
          </w:p>
        </w:tc>
        <w:tc>
          <w:tcPr>
            <w:tcW w:type="dxa" w:w="38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운영 공통 비용 (예: 건당 30만원 이하, 월 누계 150만원 이하)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초과 금액, 대외 계약, 연간 단가계약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 사전 승인</w:t>
            </w:r>
          </w:p>
        </w:tc>
      </w:tr>
      <w:tr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부장</w:t>
            </w:r>
          </w:p>
        </w:tc>
        <w:tc>
          <w:tcPr>
            <w:tcW w:type="dxa" w:w="38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부서 예산 전체 범위 내 최종 판단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상위 조직 예산 초과분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상위 조직 승인 필요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 w:val="0"/>
          <w:sz w:val="18"/>
        </w:rPr>
        <w:t>※ 위 금액은 예시이며, 제정·개정 시 부서 실정에 맞게 부장이 확정하여 별지로 고시한다.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제11조 (대외 커뮤니케이션 원칙)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공식 창구 단일화 : 부서를 대표하는 공식 대외 커뮤니케이션의 최종 창구는 부장이다.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실무 접촉 : 과장·서무는 업무상 필요한 실무 협의를 직접 수행할 수 있으나, 다음 사안은 총무를 경유하여 부장 승인을 받는다.</w:t>
      </w:r>
    </w:p>
    <w:p>
      <w:pPr>
        <w:pStyle w:val="ListBullet"/>
        <w:spacing w:before="40" w:after="40"/>
        <w:ind w:left="624"/>
      </w:pPr>
      <w:r>
        <w:rPr>
          <w:rFonts w:ascii="맑은 고딕" w:hAnsi="맑은 고딕" w:eastAsia="맑은 고딕"/>
          <w:sz w:val="20"/>
        </w:rPr>
        <w:t>공식 문서·공문·협약의 발송</w:t>
      </w:r>
    </w:p>
    <w:p>
      <w:pPr>
        <w:pStyle w:val="ListBullet"/>
        <w:spacing w:before="40" w:after="40"/>
        <w:ind w:left="624"/>
      </w:pPr>
      <w:r>
        <w:rPr>
          <w:rFonts w:ascii="맑은 고딕" w:hAnsi="맑은 고딕" w:eastAsia="맑은 고딕"/>
          <w:sz w:val="20"/>
        </w:rPr>
        <w:t>언론·외부 기관·감사 기관과의 커뮤니케이션</w:t>
      </w:r>
    </w:p>
    <w:p>
      <w:pPr>
        <w:pStyle w:val="ListBullet"/>
        <w:spacing w:before="40" w:after="40"/>
        <w:ind w:left="624"/>
      </w:pPr>
      <w:r>
        <w:rPr>
          <w:rFonts w:ascii="맑은 고딕" w:hAnsi="맑은 고딕" w:eastAsia="맑은 고딕"/>
          <w:sz w:val="20"/>
        </w:rPr>
        <w:t>부서 입장을 표명하는 발언</w:t>
      </w:r>
    </w:p>
    <w:p>
      <w:pPr>
        <w:pStyle w:val="ListBullet"/>
        <w:spacing w:before="40" w:after="40"/>
        <w:ind w:left="624"/>
      </w:pPr>
      <w:r>
        <w:rPr>
          <w:rFonts w:ascii="맑은 고딕" w:hAnsi="맑은 고딕" w:eastAsia="맑은 고딕"/>
          <w:sz w:val="20"/>
        </w:rPr>
        <w:t>기밀·민감 정보가 포함되는 자료 공유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대외 접촉 내역은 서무가 접촉 대장(일자·상대·목적·결과)에 기록한다.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제5장 긴급도 분류 및 대응 SLA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제12조 (긴급도 등급)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val="clear" w:color="auto" w:fill="C0504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3061"/>
            <w:shd w:val="clear" w:color="auto" w:fill="C0504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정의 / 해당 사례</w:t>
            </w:r>
          </w:p>
        </w:tc>
        <w:tc>
          <w:tcPr>
            <w:tcW w:type="dxa" w:w="1928"/>
            <w:shd w:val="clear" w:color="auto" w:fill="C0504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1차 보고 경로</w:t>
            </w:r>
          </w:p>
        </w:tc>
        <w:tc>
          <w:tcPr>
            <w:tcW w:type="dxa" w:w="1701"/>
            <w:shd w:val="clear" w:color="auto" w:fill="C0504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응답 SLA</w:t>
            </w:r>
          </w:p>
        </w:tc>
        <w:tc>
          <w:tcPr>
            <w:tcW w:type="dxa" w:w="1587"/>
            <w:shd w:val="clear" w:color="auto" w:fill="C0504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Critical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(최상위)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사업 중단·대외 사고·인명 안전·법적 리스크 수준의 사안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예) 행사 당일 중대 사고, 대외 민원 폭주, 보안 사고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경유 즉시 부장 직보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(전화·텔레그램 동시)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10분 이내 인지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30분 이내 1차 대응 착수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근무외 시간에도 즉시 통지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High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(고)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당일 또는 익일 업무에 차질이 예상되는 사안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예) 주요 인력 당일 결원, 행사 준비 중대 지연, 핵심 자료 유실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즉시 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부장 당일 보고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1시간 이내 인지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당일 내 대응안 확정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근무외 시간은 다음 영업일 09시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Normal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(중)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일주일 이내 처리가 필요한 일반 업무·조율 사안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제7조 조율 단계 준수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각 단계 SLA 준수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정기 보고 경로</w:t>
            </w:r>
          </w:p>
        </w:tc>
      </w:tr>
      <w:tr>
        <w:tc>
          <w:tcPr>
            <w:tcW w:type="dxa" w:w="10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Low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(저)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즉시성이 낮은 개선 건의·장기 과제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서무·과장 경유 총무에 취합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월간 정기회의 때 일괄 검토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축적 후 일괄 논의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제13조 (긴급도 분류 권한 및 이의제기)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최초 발견자가 잠정 등급을 제시하고, 총무가 최종 등급을 확정한다.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총무 부재 시 대행자가 확정하고, 부장은 등급을 변경할 수 있다.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등급 판정에 이견이 있는 경우 제22조(이의제기)를 적용한다.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제6장 부재 및 대행 체계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제14조 (상시 대행 순위)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연 1회 이상 부장이 사전에 대행자를 지정하여 서면 고시한다. 1순위·2순위를 고정하여 동시 부재 공백을 방지한다.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본래 직책</w:t>
            </w:r>
          </w:p>
        </w:tc>
        <w:tc>
          <w:tcPr>
            <w:tcW w:type="dxa" w:w="192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1순위 대행</w:t>
            </w:r>
          </w:p>
        </w:tc>
        <w:tc>
          <w:tcPr>
            <w:tcW w:type="dxa" w:w="192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2순위 대행</w:t>
            </w:r>
          </w:p>
        </w:tc>
        <w:tc>
          <w:tcPr>
            <w:tcW w:type="dxa" w:w="4082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 범위</w:t>
            </w:r>
          </w:p>
        </w:tc>
      </w:tr>
      <w:tr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선임 과장</w:t>
            </w:r>
          </w:p>
        </w:tc>
        <w:tc>
          <w:tcPr>
            <w:tcW w:type="dxa" w:w="40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일상 운영 결정 및 Critical 등급 대응 한정.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규정 개정·주요 대외 계약은 대행 불가.</w:t>
            </w:r>
          </w:p>
        </w:tc>
      </w:tr>
      <w:tr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총무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선임 과장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 지정자</w:t>
            </w:r>
          </w:p>
        </w:tc>
        <w:tc>
          <w:tcPr>
            <w:tcW w:type="dxa" w:w="40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일일 운영·조율 전체. 대외 공식 문서는 부장 직결.</w:t>
            </w:r>
          </w:p>
        </w:tc>
      </w:tr>
      <w:tr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동급 과장 중 지정자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지정자</w:t>
            </w:r>
          </w:p>
        </w:tc>
        <w:tc>
          <w:tcPr>
            <w:tcW w:type="dxa" w:w="40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담당 과 현장 운영. 신규 인력 채용·징계는 부장 승인 필수.</w:t>
            </w:r>
          </w:p>
        </w:tc>
      </w:tr>
      <w:tr>
        <w:tc>
          <w:tcPr>
            <w:tcW w:type="dxa" w:w="13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서무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보조 서무 또는 총무 지정자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408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문서·기록 관리. 개인정보 열람은 본래 권한자 승인 필수.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제15조 (이중 부재 대응)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부장·총무 동시 부재 시 선임 과장이 부장 권한을, 차선임 과장이 총무 권한을 각각 대행한다.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과장 전원 부재 시 총무가 현장 대행을 수행하되, 24시간 내 대행자를 재지정한다.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대행자는 대행 기간 중 주요 결정을 서면으로 기록하고, 원래 직책자 복귀 시 전량 인계한다.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제16조 (선임 과장의 지정)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선임 과장은 재직 연차·직위·업무 경험을 고려하여 부장이 연 1회 서면으로 지정한다.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선임 과장 공석 또는 부재 시 부장이 즉시 차선임을 서면 지정한다.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제7장 회의체 운영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제17조 (정례 회의체)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회의명</w:t>
            </w:r>
          </w:p>
        </w:tc>
        <w:tc>
          <w:tcPr>
            <w:tcW w:type="dxa" w:w="170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주기 / 시점</w:t>
            </w:r>
          </w:p>
        </w:tc>
        <w:tc>
          <w:tcPr>
            <w:tcW w:type="dxa" w:w="79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주관</w:t>
            </w:r>
          </w:p>
        </w:tc>
        <w:tc>
          <w:tcPr>
            <w:tcW w:type="dxa" w:w="192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참석자</w:t>
            </w:r>
          </w:p>
        </w:tc>
        <w:tc>
          <w:tcPr>
            <w:tcW w:type="dxa" w:w="90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</w:t>
            </w:r>
          </w:p>
        </w:tc>
        <w:tc>
          <w:tcPr>
            <w:tcW w:type="dxa" w:w="2494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아젠다</w:t>
            </w:r>
          </w:p>
        </w:tc>
      </w:tr>
      <w:t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부서 주간회의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매주 월요일 오전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총무·과장 전원·서무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전주 실적·금주 계획·리스크·의사결정 요청</w:t>
            </w:r>
          </w:p>
        </w:tc>
      </w:tr>
      <w:t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실무 스탠드업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매일 오전 15분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과장 전원·서무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당일 핵심 업무·블로커·지원 요청</w:t>
            </w:r>
          </w:p>
        </w:tc>
      </w:tr>
      <w:t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과별 회의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주 1회 (과장 재량)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해당 과장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 구성원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과장 지정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 내부 업무 분배·문제 해결</w:t>
            </w:r>
          </w:p>
        </w:tc>
      </w:tr>
      <w:t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행사 점검회의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행사 2주 전부터 주 1회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9"/>
              </w:rPr>
              <w:t>직전 1주 매일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부장·과장·서무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준비 진척률·리스크·자원 재배치</w:t>
            </w:r>
          </w:p>
        </w:tc>
      </w:tr>
      <w:tr>
        <w:tc>
          <w:tcPr>
            <w:tcW w:type="dxa" w:w="147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월간 리뷰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매월 말</w:t>
            </w:r>
          </w:p>
        </w:tc>
        <w:tc>
          <w:tcPr>
            <w:tcW w:type="dxa" w:w="7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총무·과장·서무</w:t>
            </w:r>
          </w:p>
        </w:tc>
        <w:tc>
          <w:tcPr>
            <w:tcW w:type="dxa" w:w="9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월간 성과·개선 과제·규정 보완점</w:t>
            </w:r>
          </w:p>
        </w:tc>
      </w:tr>
    </w:tbl>
    <w:p/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제18조 (회의 운영 원칙)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모든 회의는 아젠다를 사전 공유한다(최소 12시간 전).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서무는 회의록을 회의 종료 후 영업일 1일 이내에 공유 드라이브에 게시한다.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회의록에는 결정사항·담당자·기한을 명시하고, 미결 사항은 다음 회의에 자동 상정한다.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제8장 근무외 시간 비상 대응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제19조 (비상연락 체계)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서무는 직책별 비상연락망을 작성·분기 1회 갱신하여 전 직책에 공유한다.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연락 순서 : 발견자 → 총무 → 부장 (Critical은 총무·부장 동시)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1순위 연결 실패 시 5분 내 대행 순위로 연결을 시도한다.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제20조 (근무외 시간 권한 위임)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Critical 사안에 한해 총무는 부장 승인 없이 초동 대응을 지시할 수 있다.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근무외 집행한 비용·결정은 익일 09시 이전까지 서면으로 부장에게 사후 보고한다.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근무외 대응에 투입된 인력은 대체 휴무 또는 초과근무 처리 등 사후 보상 기준을 적용한다.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제9장 기록·문서 관리 및 보안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제21조 (기록 주체 및 보관)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회의록·조율 결과·의사결정 기록의 작성과 보관 주체는 서무이다.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보관 위치는 부서 공유 드라이브의 지정 폴더로 단일화하며, 총무가 접근 권한을 관리한다.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기록 보관 기간 : 회의록 3년, 조율 결과 3년, 예산 집행 5년, 대외 공문 5년 (상위 규정 우선).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제22조 (개인정보·보안)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연락망·명단·인사 자료는 최소한의 열람 권한으로 관리한다.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외부 공유 금지 : 부서 외부로의 명단·연락처·내부 자료 공유는 부장 승인 후에만 가능하다.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기밀 표시 : 기밀 자료는 문서 상단에 "대외비"를 표기하고 별도 폴더에 보관한다.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퇴사·이동 시 : 해당자는 개인 저장 자료 전량 삭제 또는 반납하고, 서무가 확인 서명한다.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제10장 점검·평가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제23조 (정기 점검 체계)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288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238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주체</w:t>
            </w:r>
          </w:p>
        </w:tc>
        <w:tc>
          <w:tcPr>
            <w:tcW w:type="dxa" w:w="1247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주기</w:t>
            </w:r>
          </w:p>
        </w:tc>
        <w:tc>
          <w:tcPr>
            <w:tcW w:type="dxa" w:w="2381"/>
            <w:shd w:val="clear" w:color="auto" w:fill="1F3A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과별 진행률·미완료 과제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과장 자체 점검 → 총무 검토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주간회의 시 보고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부서 전체 진행률·블로커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 보고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회의록·기록 누락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 자체 점검 → 총무 검토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월간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월간 리뷰 시 보고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예산 집행 적정성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총무 → 부장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월간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한도 초과·목적외 점검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비상연락망·대행 지정 최신성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서무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분기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인사 변동 반영</w:t>
            </w:r>
          </w:p>
        </w:tc>
      </w:tr>
      <w:tr>
        <w:tc>
          <w:tcPr>
            <w:tcW w:type="dxa" w:w="328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규정 전반 준수 여부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부장 (필요 시 외부)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반기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/>
                <w:sz w:val="19"/>
              </w:rPr>
              <w:t>개정 과제 도출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제11장 인수인계 및 온보딩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제24조 (인수인계 표준)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사전 통지 : 정기 인사이동·퇴사는 최소 2주 전, 장기 휴직은 가능한 사유 발생 즉시 통지한다.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인수인계 기간 : 주요 직책(부장·총무)은 최소 2주, 과장·서무는 최소 1주 확보를 원칙으로 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표준 체크리스트 : 진행 중 업무·미결 과제·핵심 거래처·비밀번호/접근권한·파일 위치·대외 관계·개선 중 사안.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확인 절차 : 인계자·인수자·입회자(총무) 3자 서명 후 서무가 보관한다.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제25조 (신규 입사자 온보딩)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입사 3영업일 내 : 총무가 본 규정과 핵심 프로세스를 1:1 오리엔테이션으로 전달한다.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입사 1주 내 : 서무가 공유 드라이브·연락망·회의체 참여 권한을 부여한다.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입사 1개월 내 : 해당 직속 상위자가 실무 수행 숙련도를 1차 점검하고 부장에게 보고한다.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모든 신규자는 본 규정 수령 확인서에 서명한다.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제12장 이의제기 및 규정 개정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제26조 (이의제기 절차)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직속 상위자의 지시 또는 조율 결과에 공식 이견이 있는 자는 총무를 경유하여 부장에게 서면 이의제기를 할 수 있다.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이의제기자는 이의 사유·대안·근거를 명시하여 제출한다.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부장은 접수 후 5영업일 이내에 검토 결과를 서면으로 회신한다.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이의제기를 이유로 불이익 처우를 하여서는 아니 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제27조 (규정 개정 절차)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발의 : 모든 직책자가 총무에게 개정 의견을 제출할 수 있다.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취합·검토 : 총무는 반기 1회 이상 개정 의견을 취합하여 초안을 작성한다.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심의 : 부서 주간회의 또는 임시 회의에서 주요 개정안을 심의한다.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승인·공지 : 부장이 최종 승인하고, 시행 7일 전까지 전 직책에 서면 공지한다.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긴급 개정 : 규정 공백으로 즉시성이 필요한 경우 부장 결정으로 긴급 개정하고 차기 정기회의에서 추인한다.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E5C8A"/>
          <w:sz w:val="24"/>
        </w:rPr>
        <w:t>제28조 (규정의 보완)</w:t>
      </w:r>
    </w:p>
    <w:p>
      <w:pPr>
        <w:spacing w:before="60" w:after="60"/>
      </w:pPr>
      <w:r>
        <w:rPr>
          <w:rFonts w:ascii="맑은 고딕" w:hAnsi="맑은 고딕" w:eastAsia="맑은 고딕"/>
          <w:b w:val="0"/>
          <w:sz w:val="20"/>
        </w:rPr>
        <w:t>본 규정에서 정하지 아니한 세부 사항은 부장이 별도 고시로 정할 수 있다. 고시는 본 규정의 부속 문서로 관리한다.</w:t>
      </w:r>
    </w:p>
    <w:p>
      <w:r>
        <w:br w:type="page"/>
      </w:r>
    </w:p>
    <w:p>
      <w:pPr>
        <w:spacing w:before="320" w:after="160"/>
      </w:pPr>
      <w:r>
        <w:rPr>
          <w:rFonts w:ascii="맑은 고딕" w:hAnsi="맑은 고딕" w:eastAsia="맑은 고딕"/>
          <w:b/>
          <w:color w:val="1F3A68"/>
          <w:sz w:val="30"/>
        </w:rPr>
        <w:t>부칙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본 개정 규정은 부장 승인일로부터 시행한다.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본 규정 시행과 동시에 종전 규정(v1.0)은 폐지한다.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시행 전 발생 사안 중 계속 중인 사항에 대하여는 본 규정을 적용한다.</w:t>
      </w:r>
    </w:p>
    <w:p>
      <w:pPr>
        <w:pStyle w:val="ListBullet"/>
        <w:spacing w:before="40" w:after="40"/>
        <w:ind w:left="340"/>
      </w:pPr>
      <w:r>
        <w:rPr>
          <w:rFonts w:ascii="맑은 고딕" w:hAnsi="맑은 고딕" w:eastAsia="맑은 고딕"/>
          <w:sz w:val="20"/>
        </w:rPr>
        <w:t>다음 정기 검토일은 시행일로부터 6개월 후로 한다.</w:t>
      </w:r>
    </w:p>
    <w:p/>
    <w:p/>
    <w:p>
      <w:pPr>
        <w:spacing w:before="60" w:after="60"/>
        <w:jc w:val="right"/>
      </w:pPr>
      <w:r>
        <w:rPr>
          <w:rFonts w:ascii="맑은 고딕" w:hAnsi="맑은 고딕" w:eastAsia="맑은 고딕"/>
          <w:b w:val="0"/>
          <w:sz w:val="22"/>
        </w:rPr>
        <w:t>작성 :          총무                    (서명/인)</w:t>
      </w:r>
    </w:p>
    <w:p>
      <w:pPr>
        <w:spacing w:before="60" w:after="60"/>
        <w:jc w:val="right"/>
      </w:pPr>
      <w:r>
        <w:rPr>
          <w:rFonts w:ascii="맑은 고딕" w:hAnsi="맑은 고딕" w:eastAsia="맑은 고딕"/>
          <w:b w:val="0"/>
          <w:sz w:val="22"/>
        </w:rPr>
        <w:t>승인 :          부장                    (서명/인)</w:t>
      </w:r>
    </w:p>
    <w:p>
      <w:pPr>
        <w:spacing w:before="60" w:after="60"/>
        <w:jc w:val="right"/>
      </w:pPr>
      <w:r>
        <w:rPr>
          <w:rFonts w:ascii="맑은 고딕" w:hAnsi="맑은 고딕" w:eastAsia="맑은 고딕"/>
          <w:b w:val="0"/>
          <w:sz w:val="22"/>
        </w:rPr>
        <w:t>시행일 :  2026 년       월       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