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19일 (2차본, 1차본 제출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spacing w:after="100"/>
        <w:jc w:val="center"/>
      </w:pPr>
      <w:r>
        <w:rPr>
          <w:rFonts w:ascii="맑은 고딕" w:cs="맑은 고딕" w:eastAsia="맑은 고딕" w:hAnsi="맑은 고딕"/>
          <w:color w:val="9A6A00"/>
          <w:sz w:val="18"/>
          <w:szCs w:val="18"/>
        </w:rPr>
        <w:t xml:space="preserve">2차본(중간 점검 지적 반영): 활성 사용자 기준 NDCG 병기, BPR·목표 정렬 신경망 비교, ISA·기본예탁금·IRP 70%·과표기준가 콘텐츠 보강, 공식 API 전용 수집, 개인정보 저장 최소화·k-익명 반출, A/B 설계 정정</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2,640개 설정 중 검증 1위는 ‘규칙[관심 주제+수준 일치+모바일·짧은 콘텐츠+로드맵 단계 우선순위]’였고,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13건(전국투자자교육협의회 스쿨, 금융투자교육원 사전교육, KRX ETF 정보·정보데이터시스템·Open API, 공공데이터포털 시세·상장종목 API, 운용사 가이드북)을 등록부로 정리했다. 자동 수집은 공식 API만 쓰고(실행당 호출 상한, 페이지 넘김, 빈 응답·실패의 상태 기록), ETF 전종목 기본정보는 이용자가 직접 내려받은 파일을 정규화하며, 파일별 기준일과 30일 경과 경고, 샘플 폴백을 둔다. 개인정보는 번들에 원시 연령·연소득과 일·분 단위 시각을 남기지 않고, 가명처리 도구·k-익명 반출(export-deid)·저장 전 개인정보 QA 5건을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 카탈로그 v2(단원 66개·선수 관계 80개), 진단 퀴즈 20문항(18개 단원), 세제·규제 단원 학습 요점, 로드맵 엔진, ETF 유형 분류 10종, 학습 파이프라인(설정 2,640개, 신호 163개, QA 116/116건), FastAPI 서버와 11단계 웹 UI ‘학습 설계 스튜디오’, 자동화 테스트 94건과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109,674건)에서 검증 1위는 ‘규칙[관심 주제+수준 일치+모바일·짧은 콘텐츠+로드맵 단계 우선순위](base=연령대+소득분위)’(검증 NDCG@5 0.1418), 테스트 NDCG@5(전체 / 활성 사용자)는 규칙 0.1338 / 0.2471, 운영 라우터 0.1338 / 0.2471, 인기 0.1037 / 0.1915, 무작위 0.0406 / 0.0750이었다. 노트북 B의 원본 세계(v1)는 소수점 5자리까지 재현했다. 선수 단원 가드레일은 선수 미이수 추천을 53%에서 0으로 줄이는 대신 NDCG를 0.026 낮췄는데, 선수 효과가 강한 세계(페널티 4.0)에서는 이 비용이 사라지고 점 추정치가 역전되었다(다만 95% 구간은 0을 포함; 민감도 실험, 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정확도(전체·활성 사용자 기준)·다양성·교육 순서 준수 지표, 집단별 점검(두 기준), 온라인 A/B(MDE별 표본 크기, 고정 순서 검정, 기간 상한과 필요 유입) 설계, 사용성·전문가 검토 계획을 세웠다(7절). 남은 일정은 실제 공개 데이터 수집 실행, 교육 자료 연동, 사용자 테스트, 최종 보고서다(8절).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중간 점검 지적 반영: </w:t>
      </w:r>
      <w:r>
        <w:rPr>
          <w:rFonts w:ascii="맑은 고딕" w:cs="맑은 고딕" w:eastAsia="맑은 고딕" w:hAnsi="맑은 고딕"/>
          <w:sz w:val="21"/>
          <w:szCs w:val="21"/>
        </w:rPr>
        <w:t xml:space="preserve">별도 문서 ‘비판 검토 및 보완 보고서’에서 지적 11건을 문장 단위로 판정했다. 수용 6건(A/B 설계, 기본예탁금, ISA·IRP 70%, 과표기준가, KRX 비공식 호출 제거, 가명정보·k-익명성), 대부분 수용 1건(손실 함수·BPR), 부분 수용 2건(정답 없는 사용자의 NDCG 처리, 총평), 불수용 1건(모의 로그의 ‘산술 모순’: 이벤트 열은 한 시도의 다중 플래그이며 합계 초과분은 통과·저장 플래그와 미완료·비이탈 시도로 정확히 분해된다), 긍정 평가 1건(다양성 지표). 가장 큰 정정은 손실 함수다. 1차본은 MF·MLP의 낮은 성능을 ‘모델 결함이 아니라 목표 불일치’라고 실험 없이 단정하고 랭킹 손실(BPR) 비교를 다음 단계로 미뤘다. 같은 실행에서 비교하니 미관측 단원을 음성으로 쓰는 쌍별 손실을 쓰면 노트북 세계(v1)에서 MLP 점수(0.05325 → 0.10638)가 유의하게 개선되었고, BPR MF는 표본 MF보다 v1·v2 모두 유의하게 개선되었다. v2에서는 전체 사용자 기준으로 MLP보다 유의하게 나빠졌는데(−0.0081 [−0.0123, −0.0037]), 이 차이는 학습 주에 통과가 없어 쌍별 모델이 학습하지 못하고 대체 점수를 받는 사용자에게서 나온다. 모든 신경망이 학습한 사용자로 좁히면 유의한 차이가 없었다(+0.0014 [−0.0038, +0.0058]). 어느 신경망도 규칙을 넘지 못했다(6.3절, 부록 E).</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22 × 수준 3 = 66단원, 선수 관계 80개,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결과(20문항)</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BPR MF·쌍별 MLP·목표 정렬 MLP (신호 163개, 설정 2,640개)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공식 API 커넥터(KRX Open API·공공데이터포털)·수동 내려받기 정규화 + 출처 등록부 13건 + 저장 최소화·가명처리·k-익명 반출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리스크·세제 관문과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지수를 따르는 ETF라도 운용사·상품마다 총보수가 다르고, 작은 차이도 장기 복리로 수익률 격차를 키운다(실제 분포는 KRX 전종목 기본정보의 총보수로 유형별 중앙값·범위를 계산해 유형 카드에 보여 준다).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사전교육과 기본예탁금(1,000만원; 단일종목형은 현금 3,000만원, 사전교육 총 3시간, 신규 투자자 모의거래 5시간)이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‘일일 수익률 복리와 음의 복리 효과’(수준 2) → ‘변동성 장세의 레버리지 위험과 거래 요건’(수준 3, 학습 요점 포함) → 유형 카드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세제·계좌 관문(2차본 보강)</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ETF라도 어느 계좌에서 사느냐에 따라 세금이 다르다: ISA(순이익 200만원·서민형 400만원 비과세, 초과분 9.9% 분리과세), 연금저축·IRP(과세이연, IRP 위험자산 70% 한도), 국내 상장 해외·채권·원자재 ETF의 보유기간과세(실제 차익과 과표기준가 상승분 중 작은 금액에 15.4%).</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‘절세 계좌’ 주제 3단원(신설), ‘IRP·연금저축의 ETF 투자 규칙과 위험자산 70% 한도’(수준 2), ‘해외 ETF 세금: 과표기준가·보유기간과세와 양도소득세’(수준 3)</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진단 답안과 목적·성향·기간을 페르소나마다 정해 실제 로드맵 엔진으로 계산한 결과다(export 스크립트의 PERSONAS).</w:t>
      </w:r>
    </w:p>
    <w:p>
      <w:pPr>
        <w:keepNext/>
        <w:spacing w:after="60" w:before="160"/>
      </w:pPr>
      <w:r>
        <w:rPr>
          <w:rFonts w:ascii="맑은 고딕" w:cs="맑은 고딕" w:eastAsia="맑은 고딕" w:hAnsi="맑은 고딕"/>
          <w:b/>
          <w:bCs/>
          <w:color w:val="1F6F55"/>
          <w:sz w:val="19"/>
          <w:szCs w:val="19"/>
        </w:rPr>
        <w:t xml:space="preserve">표 3. 세 가지 페르소나 시나리오(진단과 로드맵은 실제 계산)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진단(실제 채점)</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기초 문항 위주 정답(수준1 6/9, 수준2 1/6, 수준3 0/5) → 진단 수준 1(정답 7/20). 맞힌 단원 6개(ETF란 무엇인가·ETF 총보수 이해하기·환율이 해외 ETF 수익률에 미치는 영향 등)는 ‘진단 통과’로 기록되어 후보에서 빠진다.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템플릿을 안정 성향·5년 이상으로 계산: 단원 25개(진단 통과 6개), 남은 시간 약 208분/전체 284분. 필수 기초 9개(세 페르소나 공통, 선수 단원 포함: ETF란 무엇인가·지수란 무엇인가·ETF 총보수 이해하기·레버리지·인버스 ETF란·국내 상장 해외 ETF와 해외 상장 ETF·ETF 거래량과 유동성·ETF 가격은 어떻게 정해지나·일일 수익률 복리와 음의 복리 효과·환율이 해외 ETF 수익률에 미치는 영향) → 목적별 핵심 10개(ETF 분배금이란·채권 ETF 기초·분산투자의 기초·연금계좌에서 ETF 투자하기·ISA 계좌란·환헤지형과 환노출형 ETF 비교·주식·채권 자산배분 이해하기·IRP·연금저축의 ETF 투자 규칙과 위험자산 70% 한도·ISA 유형·납입 한도·의무가입 기간·리밸런싱이란) → 심화 6개(채권 ETF와 금리의 관계·정기 리밸런싱과 밴드 리밸런싱·환헤지 비용과 금리차·상관관계와 포트폴리오 위험·연금계좌 세액공제와 과세이연·ISA 만기 자금의 연금계좌 전환과 절세 순서). 연금 템플릿에는 레버리지 심화 단원이 없고(안정 성향이면 어느 목적에서든 레버리지 수준 3을 뺀다), 음의 복리 단원은 필수 기초라 남는다.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해외 주식형(국내 상장), 채권형, 자산배분·혼합, 국내 시장대표 주식형. 연금계좌 편입 가능 여부·IRP 위험자산 70% 한도·과세이연과 ISA 만기 자금의 연금계좌 전환(추가 세액공제)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수준1 전부, 수준2 절반(괴리율·스프레드·채권 금리) 정답 → 진단 수준 2(정답 13/20). 분배금·NAV와 괴리율 단원을 포함해 13개 단원이 진단 통과(로드맵 안 9개).</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수취 템플릿을 중립 성향·1~5년으로 계산: 단원 23개, 남은 시간 약 161분/전체 268분. 필수 기초 9개(A와 같음) → 목적별 핵심 7개(ETF 분배금이란·채권 ETF 기초·리츠 ETF 기초·커버드콜 ETF란·ISA 계좌란·분배금 지급 구조와 재투자·옵션 프리미엄과 분배금의 원천) → 심화 7개(채권 ETF와 금리의 관계·해외 ETF 거래 방법과 환전·리츠 ETF와 금리·ISA 유형·납입 한도·의무가입 기간·분배금과 세금·해외 ETF 세금·커버드콜의 상승 제한과 총수익 비교). ‘해외 ETF 거래 방법과 환전’은 템플릿 단원이 아니라 과표기준가 단원의 선수라 함께 들어온다.</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 복리 문항(q05) 오답, 수준1 4/9 → 진단 수준 1(정답 6/20). 레버리지 복리 문항을 틀려 ‘일일 수익률 복리와 음의 복리 효과’가 필수 기초 단계에 학습할 단원으로 남는다.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매매·전술적 투자 템플릿을 적극 성향·1년 미만으로 계산: 단원 24개, 남은 시간 약 237분/전체 276분. 필수 기초 9개(A와 같음) → 목적별 핵심 3개(섹터 ETF 기초·테마 ETF란·호가 스프레드 읽기) → 심화 12개(ETF 분배금이란·원자재 ETF 기초·분배금 지급 구조와 재투자·해외 ETF 거래 방법과 환전·테마 ETF의 구성 종목 확인하기·선물 기반 ETF와 롤오버·분배금과 세금·변동성 장세의 레버리지 위험과 거래 요건·해외 ETF 세금·괴리율이 커지는 상황 이해하기·테마 ETF의 집중 위험·콘탱고와 백워데이션). 심화 가운데 템플릿 단원은 레버리지 거래 요건·괴리율 확대·테마 집중 위험·선물 롤오버·콘탱고와 백워데이션·과표기준가이고, 나머지(분배금 3단원·해외 ETF 거래·원자재 기초·테마 구성 종목)는 그 선수 단원이다. 단기 기간 규칙(유동성 2 추가)은 이 단원이 이미 핵심 단계에 있어 단원 수를 바꾸지 않는다.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 기본예탁금 1,000만원(단일종목형은 2026-07-31부터 현금 3,000만원, 2026-08-19부터 사전교육 총 3시간·신규 투자자 모의거래 5시간)’을 안내한 뒤에 카드가 열린다. 예탁금이 없으면 교육을 마쳐도 매수 주문이 들어가지 않는다는 점을 카드 주의 사항에 적었다. 안정 성향 학습자라면 같은 목적이어도 이 카드는 ‘학습용(권장 아님)’으로만 보인다.</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 (선택) 선수 단원 통과’로 제한하고, 목록을 고를 때 한 단계 위 단원은 최대 1개만 넣는다(목록 후처리).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금지(모든 화면과 추천을 담은 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 A(세그먼트 인기순)보다 높을 것(7절). 오프라인 NDCG에서는 가드레일을 켠 서비스 설정이 대조군보다 낮으므로 이 기준은 온라인 실험으로만 판정한다.</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퀴즈 통과 건수(기준 주 이전 로그). 세그먼트 인기는 세그먼트 안 통과 비중을 전역 비중으로 수축: n/(n+λ)·세그먼트 + λ/(n+λ)·전역(세그먼트 변수 조합 31개 × λ ∈ {5, 20, 80} = 93개 신호)</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규칙의 기준점수·하이브리드의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 5 × 인기(세그먼트 없음 또는 연령대+소득분위) + 가산점: 관심 주제 3, 수준 일치 2, 연령 생애주기 주제 2, 소득 구간 주제 2, 위험성향 주제 2, 모바일·짧은 콘텐츠 1, 투자 목적 일치 2, 로드맵 단계 우선순위 2(가산점 8개의 모든 부분집합 × 기준 2종 = 512개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1위(관심 주제·수준 일치·모바일·짧은 콘텐츠·로드맵 단계 우선순위).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주제 이름+제목의 문자 2~3그램 TF-IDF, 또는 둘 다)과 학습자 선호 프로필의 코사인 유사도(6개 설정)</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신호(테스트 보고 설정: 콘텐츠[주제·수준]),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 ∈ {20, 50, 100})의 반응 가중 평균, 인구통계 유사도 혼합(w ∈ {0.2, 0.5}) 변형(27개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미이수 0.74),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사용자 CF(k=100, 인구통계[age+inc+gender] w=0.5)). CF 항이 비CF 항과 섞인 하이브리드에서는 아이템 반응 근거 n_i/(n_i+10)로 CF 비중을 줄인다(단독 CF 설정에는 적용하지 않음)</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 ∈ {0, 5, 10, 30}, 신뢰도 가중 여부; 8개 설정)로 ‘함께 학습(시도)한 단원’ 점수(조회만 한 시도도 함께 나온 것으로 셈)</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아이템 CF(λ=30)),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MF(6·9주차): 관측 칸은 신뢰도 1+α·log(1+점수) 가중, 미관측 칸은 표본추출해 0으로 둔 가중 MSE. 관측 MF: 관측된 행만 MSE. 둘 다 사용자·단원 잠재요인 내적, Adam</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점수 회귀(점별 손실)라 순위를 직접 학습하지 않음,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임베딩 → 은닉층 → 통과 확률(BCEWithLogitsLoss). 관측된 시도 행만 학습(양성 = 통과, 음성 = 시도했지만 미통과). 미관측 단원은 학습에 쓰지 않음. 관측 행이 있는 사용자는 통과가 없어도 학습된다</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시도 + 통과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시도하지 않은 단원과 시도한 단원을 비교하는 법을 배우지 못함(다음 주 선택 예측과 어긋남). 인기 대비 v2 -0.018, 무작위 대비 v1 -0.007(6절)</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쌍별·목표 정렬 확장(2차본)</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−ln σ(p_u·q_i − p_u·q_j), j = 미관측 단원(에폭마다 다시 추출) / MLP 쌍별(관측 음성): (통과, 미통과 시도) 쌍(미통과 시도가 없는 사용자는 미관측 단원으로 대체, 테스트 스냅샷 쌍의 3.2%) / MLP 쌍별(미관측 음성): (통과, 미관측) 쌍 = 비판이 처방한 BPR / MLP 목표 정렬: (주 w에 처음 통과한 단원, 그 주까지 통과하지 않은 단원) 쌍. 쌍별·목표 정렬 MLP는 쌍에 나온 사용자·단원만 학습되며, 쌍이 없는 사용자(학습 주에 통과가 없는 사용자)는 콘텐츠 유사도 대체 점수를 받는다</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행렬·관측 시도·주차</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미관측을 ‘거절’이 아니라 ‘양성보다 뒤’로 보는 순위 학습, 평가 목표(다음 주 통과)와 맞춘 레이블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세계와 학습 범위에 따라 효과가 다름: 미관측 음성 쌍별 MLP − MLP는 v1 개선(공통 학습 사용자 개선), v2 전체 악화·공통 학습 사용자 차이 없음. 신경망 최고치(v1 0.106, v2 0.086)는 규칙(0.171, 0.134) 아래(6.3절)</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후보·정답·후처리로 비교(기법군 MF_BPR·MLP_BPR·MLP_BPRU·MLP_NEXT)</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폭발(2,640개) → 검증으로 선택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표본 20명 미만 노드는 상위 추정을 그대로 씀)</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데이터에서는 λ=∞가 선택되어 전역 1위와 같음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아이템 CF·MF 점수가 0이고, 사용자 CF는 인구통계 유사도로만 점수가 생긴다(행동 이웃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9.9%(학습 결과로 계산한 값이며 생성기의 제약이 아님), 검증 사용자 45%가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사용자를 NDCG 0으로 넣은 전체 기준(노트북 규칙)과 정답이 있는 사용자만 평균한 활성 기준을 함께 보고(6.1절)</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목표·손실의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인기보다 낮음(v1의 MLP는 무작위보다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실행에서 네 가지 변형을 비교했다(6.3절 표). BPR MF(표본 MF 대비 v1 개선, v2 개선), 미관측 음성 쌍별 MLP(MLP 대비 v1 개선, v2 악화; 모든 신경망이 학습한 사용자로 좁히면 v1 개선, v2 차이 없음), 다음 주 통과를 직접 레이블로 쓴 목표 정렬 MLP(전체 v1 개선, v2 악화; 공통 학습 사용자 v1 개선, v2 차이 없음). 1차본의 ‘모델 결함이 아니라 목표 불일치’라는 단정은 실험 없이 쓴 문장이라 정정한다</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53%가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v2(4.4절). 실제 로그는 가명처리 도구(pseudonymize)로 같은 스키마로 바꿔 연결(4.5절)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입력 — profiles.csv: user, gender, age, income, exp, risk, mobile, interest1, interest2, placement, goal*, horizon* / study_log.csv: user, item, week, day, hour, minute, complete, quiz, quiz_pass, save, drop, replay. 번들에는 연령대·소득분위 코드와 주차·4개 시간대·주 안 순서(seq)만 저장(4.5절)</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66개(주제 22 × 수준 3), 선수 관계 80개,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정보데이터시스템(이용자가 직접 내려받은 파일), KRX Open API,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code, isin, name, issuer, index_name, total_fee, tax_type, market_class, asset_class + 파생 열 hedged, futures, total_return, etf_type, pension_eligible / 시세: close, nav, volume, premium = (종가 − NAV)/NAV</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등록부(13건)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자료(연금계좌·ISA 등 절세 계좌)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이러닝(일반 레버리지 ETP 과정 약 1시간, 수료 후 증권사에 이수번호 등록. 단일종목 레버리지·인버스는 2026-08-19부터 심화 과정을 더해 총 3시간, 신규 투자자는 한국거래소 모의거래 5시간 별도, 2026-10 기준; 재이수 필요 여부는 기관 안내 확인)</w:t>
            </w:r>
          </w:p>
          <w:p>
            <w:pPr>
              <w:spacing w:after="20" w:line="264" w:lineRule="auto"/>
              <w:jc w:val="left"/>
            </w:pPr>
            <w:r>
              <w:rPr>
                <w:rFonts w:ascii="맑은 고딕" w:cs="맑은 고딕" w:eastAsia="맑은 고딕" w:hAnsi="맑은 고딕"/>
                <w:color w:val="5D665D"/>
                <w:sz w:val="16"/>
                <w:szCs w:val="16"/>
              </w:rPr>
              <w:t xml:space="preserve"> · 웹(유료 소액: 일반 과정 4,000원, 심화 과정 비용은 기관 안내 확인)</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데이터(화면에서 직접 내려받는 파일. CSV는 UTF-8·cp949 모두 읽고, Excel은 openpyxl(.xlsx)·xlrd(.xls)가 설치된 경우에만 읽음)</w:t>
            </w:r>
          </w:p>
          <w:p>
            <w:pPr>
              <w:spacing w:after="20" w:line="264" w:lineRule="auto"/>
              <w:jc w:val="left"/>
            </w:pPr>
            <w:r>
              <w:rPr>
                <w:rFonts w:ascii="맑은 고딕" w:cs="맑은 고딕" w:eastAsia="맑은 고딕" w:hAnsi="맑은 고딕"/>
                <w:color w:val="5D665D"/>
                <w:sz w:val="16"/>
                <w:szCs w:val="16"/>
              </w:rPr>
              <w:t xml:space="preserve"> · 웹(무료, 회원 로그인). 화면용 JSON 엔드포인트의 프로그램 호출(크롤링)은 이용약관·서버 부하 문제로 쓰지 않고, 이용자가 내려받은 파일을 `sources sync --krx-csv 파일 [--krx-csv-date YYYYMMDD]`로 정규화한다</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 → 유형 분류·유형 통계</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출처 표기. 재배포·상업적 이용 금지(이 프로젝트는 비상업 수업용. 상업 서비스는 KRX와 별도 데이터 이용 계약 필요)</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Open API(ETF 일별매매정보)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API(인증키 헤더 AUTH_KEY, JSON)</w:t>
            </w:r>
          </w:p>
          <w:p>
            <w:pPr>
              <w:spacing w:after="20" w:line="264" w:lineRule="auto"/>
              <w:jc w:val="left"/>
            </w:pPr>
            <w:r>
              <w:rPr>
                <w:rFonts w:ascii="맑은 고딕" w:cs="맑은 고딕" w:eastAsia="맑은 고딕" w:hAnsi="맑은 고딕"/>
                <w:color w:val="5D665D"/>
                <w:sz w:val="16"/>
                <w:szCs w:val="16"/>
              </w:rPr>
              <w:t xml:space="preserve"> · 회원 가입 후 인증키 발급과 서비스별 이용 신청(무료). 환경변수 KRX_OPEN_API_KEY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자동 수집 경로. sync가 받은 krx_etf_daily.csv의 종가·NAV·거래량을 단축코드로 결합해 유형 카드에 괴리율 절댓값 중앙값·거래량 중앙값을 시세 기준일과 함께 표시(기초지수명·종가는 파일에 저장만 함)</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비상업적 이용, 제3자 재배포 금지, 결과물에 '한국거래소' 출처 표기. 인증키별 호출 한도는 KRX 이용 조건에서 확인(코드는 실행당 호출 상한과 호출 간격만 지킴: 기본 30회·1초). 상업 서비스는 KRX와 별도 데이터 이용 계약 필요</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domain(검색: 인증키·이용 신청 절차 확인, 엔드포인트 경로는 활용 가이드 확인 필요)</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 → 유형 카드의 괴리율·거래량 중앙값(KRX 일별 시세보다 기준일이 최근일 때 이 파일을 씀). sync는 totalCount까지 페이지를 넘겨 받고(최대 10쪽) 페이지 상한·빈 쪽으로 일부만 받으면 partial, 호출 오류는 fail(받은 쪽은 버리고 기존 파일 유지)로 기록</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w:t>
            </w:r>
          </w:p>
          <w:p>
            <w:pPr>
              <w:spacing w:after="20" w:line="264" w:lineRule="auto"/>
              <w:jc w:val="left"/>
            </w:pPr>
            <w:r>
              <w:rPr>
                <w:rFonts w:ascii="맑은 고딕" w:cs="맑은 고딕" w:eastAsia="맑은 고딕" w:hAnsi="맑은 고딕"/>
                <w:color w:val="5D665D"/>
                <w:sz w:val="16"/>
                <w:szCs w:val="16"/>
              </w:rPr>
              <w:t xml:space="preserve"> · API 키 발급 후 무료(증권상품시세정보와 같은 serviceKey)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sync 때 선택적으로 전종목 기본정보의 단축코드·ISIN을 교차 확인(키가 있을 때만, --no-cross-check로 끔). 결과는 provenance에 기록만 함. 엔드포인트 경로는 활용 가이드 기준이며 키 발급 후 확인, ETF 포함 여부 미확인</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엔드포인트·요청변수·제공 항목)</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특징으로 확장할 후보(현재 TF-IDF는 주제 이름과 단원 제목만 씀)</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기본정보(2차본 변경): </w:t>
      </w:r>
      <w:r>
        <w:rPr>
          <w:rFonts w:ascii="맑은 고딕" w:cs="맑은 고딕" w:eastAsia="맑은 고딕" w:hAnsi="맑은 고딕"/>
          <w:sz w:val="21"/>
          <w:szCs w:val="21"/>
        </w:rPr>
        <w:t xml:space="preserve">1차본은 화면이 쓰는 JSON 엔드포인트를 프로그램으로 호출했으나, 이용약관(자동 수집·서버 부하)과 서비스 중단 위험을 지적받아 그 코드를 삭제했다. 이제 이용자가 화면에서 직접 내려받은 파일을 `python -m etfrec sources sync --krx-csv 파일 [--krx-csv-date YYYYMMDD]`로 정규화한다. CSV는 UTF-8·cp949를 모두 읽고, Excel은 openpyxl(.xlsx)·xlrd(.xls)가 설치된 경우에만 읽으며 없으면 원인을 적어 ‘fail’로 기록한다(기존 스냅샷은 지우지 않음). 단축코드·종목명이 비었거나 기초지수명·총보수 열이 없는 파일(주식 전종목 기본정보처럼 다른 화면의 파일)은 형식 검사에서 ‘fail’(schema)로 기록하고 기존 스냅샷을 바꾸지 않는다. 기준일(--krx-csv-date)은 실제 날짜만 받고, 주지 않으면 파일 수정일을 ‘내려받은 날’로 기록한다.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 </w:t>
      </w:r>
      <w:r>
        <w:rPr>
          <w:rFonts w:ascii="맑은 고딕" w:cs="맑은 고딕" w:eastAsia="맑은 고딕" w:hAnsi="맑은 고딕"/>
          <w:sz w:val="21"/>
          <w:szCs w:val="21"/>
        </w:rPr>
        <w:t xml:space="preserve">원천 열 이름(Open API 영문 코드, 정보데이터시스템 한글 열, 공공데이터포털 항목)을 표준 열로 바꾼다. ISU_CD는 값이 ISIN 모양(KR로 시작하는 12자)일 때만 ISIN으로, 아니면 단축코드로 보고, 숫자로 읽혀 빠진 앞자리 0과 앞에 붙은 ‘A’를 바로잡는다. 약명이 없으면 전체 이름에서 ‘증권상장지수투자신탁’ 꼬리를 떼어 이름으로 쓰고, 추적배수 열이 있으면 1이 아닌 배수를 파생형으로 분류한다.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Open API(공식): </w:t>
      </w:r>
      <w:r>
        <w:rPr>
          <w:rFonts w:ascii="맑은 고딕" w:cs="맑은 고딕" w:eastAsia="맑은 고딕" w:hAnsi="맑은 고딕"/>
          <w:sz w:val="21"/>
          <w:szCs w:val="21"/>
        </w:rPr>
        <w:t xml:space="preserve">openapi.krx.co.kr에서 인증키를 발급받고 서비스별 이용을 신청한 뒤(비상업적 이용, 재배포 금지, 출처 표기) ETF 일별매매정보(종가·NAV·거래량)를 AUTH_KEY 헤더로 받는다. 인증키는 환경변수(KRX_OPEN_API_KEY)로만 받고(명령줄 인자는 ps·셸 기록에 남으므로 받지 않음), 앞뒤 줄바꿈은 지우며 안에 제어 문자가 있으면 키를 쓰지 않고 ‘인증키 형식 오류’로 기록한다. 오류 문구의 키 값은 가린 뒤 기록한다. 코드는 클라이언트마다 실행당 호출 상한(기본 30회)과 호출 간격(기본 1초)을 지키고 보낸 요청 수를 기록한다. 인증키별 일 호출 한도는 KRX 이용 조건이므로 코드가 강제하지 않는다. 기준일 기본값은 직전 평일(토·일만 건너뜀)이고, 휴장일·미공개로 응답이 0행이면 ‘empty’로 기록하며 기존 파일을 지우지 않는다. 종가·NAV가 비어 있는 응답(필드 이름이 바뀐 경우 등)은 ‘fail’(schema)로 기록하고 기존 시세 파일을 유지한다. 엔드포인트 경로는 활용 가이드 기준이며(키 발급 후 확인) 코드를 고치지 않고 환경변수(ETFREC_KRX_API_BASE·ETFREC_KRX_ETF_DAILY_PATH)로 바꿀 수 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공공데이터포털(같은 serviceKey): </w:t>
      </w:r>
      <w:r>
        <w:rPr>
          <w:rFonts w:ascii="맑은 고딕" w:cs="맑은 고딕" w:eastAsia="맑은 고딕" w:hAnsi="맑은 고딕"/>
          <w:sz w:val="21"/>
          <w:szCs w:val="21"/>
        </w:rPr>
        <w:t xml:space="preserve">증권상품시세정보(ETF) getETFPriceInfo는 totalCount까지 페이지를 넘겨 받는다(최대 10쪽, 서버가 쪽 크기를 줄여 보내도 계속). 페이지 상한이나 빈 쪽 때문에 일부만 받으면 ‘partial’과 멈춘 이유를, 호출 오류가 나면 받은 쪽을 버리고 ‘fail’(기존 파일 유지)과 진행 상황을 기록한다. 응답 봉투(response·header·body)가 없으면 형식 오류로 보아 오류 응답을 ‘휴장일 0행’으로 오인하지 않는다. 키는 환경변수(DATA_GO_KR_KEY)로만 받고, 포털의 인코딩 키를 넣어도 이중 인코딩되지 않게 한 번 복호화한다. 엔드포인트는 환경변수(ETFREC_DATAGOKR_BASE·ETFREC_DATAGOKR_OPERATION·ETFREC_DATAGOKR_LISTED_URL)로 바꿀 수 있다. KRX상장종목정보 getItemInfo로는 선택적으로 전종목 기본정보의 단축코드·ISIN을 교차 확인하고 결과(일치·불일치 수)를 provenance에 기록만 한다(경로는 활용 가이드 기준, ETF 포함 여부 미확인).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시세 결합과 유형 통계: </w:t>
      </w:r>
      <w:r>
        <w:rPr>
          <w:rFonts w:ascii="맑은 고딕" w:cs="맑은 고딕" w:eastAsia="맑은 고딕" w:hAnsi="맑은 고딕"/>
          <w:sz w:val="21"/>
          <w:szCs w:val="21"/>
        </w:rPr>
        <w:t xml:space="preserve">시세 스냅샷(KRX Open API·공공데이터포털 중 기준일이 최근인 것)을 단축코드로 결합해 괴리율 = (종가 − NAV)/NAV를 계산하고, 유형 카드에 괴리율 절댓값 중앙값·거래량 중앙값을 시세 기준일·결합 종목 수와 함께 보여 준다. 유형 분류(레버리지·인버스 → 인컴·커버드콜 → 자산배분 → 채권 → 원자재·통화 → 리츠·인프라 → 액티브·ESG → 국내 섹터·테마 → 해외 주식형 → 국내 시장대표 순의 키워드 규칙), 환헤지(H)·선물형·TR·연금계좌 편입 가능 플래그, 유형별 종목 수·총보수 중앙값·운용사 수 통계는 교육용이며 상품 추천이 아니다.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provenance.json에 파일마다 상태(ok, partial, empty, fail, skipped, kept, missing 중 하나), 자료 기준일(data_as_of), 저장 시각(synced_at), 내용 해시(sha256), 일부만 받음 표시(truncated), 호출 수를 남긴다. 파일과 기록은 같은 폴더의 임시 파일에 다 쓴 뒤 교체하고(쓰다가 실패하면 기존 파일 그대로), 파일을 바꾼 직후 기록도 저장한다(실행이 끊기면 complete: false). 이번 실행에서 다시 쓰지 않은 파일은 이전 기록을 그대로 두므로 화면 라벨은 그 파일 자체의 기준일을 보여 주고, 30일이 지나면 경고를 붙인다. 해시가 기록과 다르면 기록의 기준일을 믿지 않고 ‘기록 불일치’를 표시하며, 스냅샷을 읽지 못하면 샘플로 내려가 사유를 적는다. 스냅샷이 없으면 패키지에 든 가상 종목 45개 샘플을 ‘샘플 데이터’ 배지와 함께 쓴다. 스냅샷 폴더는 sources 명령과 서버가 같은 규칙(--out·serve --sources-dir, 없으면 ETFREC_SOURCES_DIR, 없으면 data/sources)으로 정하고, 서버는 시작할 때 한 번 읽는다. 화면·API에는 라벨·기준일·상태 같은 필요한 필드만 보내고 로컬 경로·오류 원문은 보내지 않는다. ‘sources check’는 출처 루트마다 HEAD 요청 1회만 보내고(리다이렉트는 따라가지 않음) User-Agent는 ‘etfrec/1.0 (non-commercial education project)’로 밝힌다.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이용 범위: </w:t>
      </w:r>
      <w:r>
        <w:rPr>
          <w:rFonts w:ascii="맑은 고딕" w:cs="맑은 고딕" w:eastAsia="맑은 고딕" w:hAnsi="맑은 고딕"/>
          <w:sz w:val="21"/>
          <w:szCs w:val="21"/>
        </w:rPr>
        <w:t xml:space="preserve">이 프로젝트는 비상업 수업 프로젝트다. KRX 자료(Open API·정보데이터시스템)는 비상업 이용·재배포 금지·출처 표기 조건이므로, 상업 서비스로 전환하려면 공공데이터포털의 이용허락 범위를 확인한 공공데이터 경로나 KRX와의 별도 데이터 이용 계약이 필요하다.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않는다(현재 TF-IDF는 주제 이름과 단원 제목만 쓴다).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있어(2026-10-14 재확인) 실제 수집은 하지 못했다. 대신 요청 헤더·주소·응답 파싱·페이지 넘김·빈 응답·호출 상한·상태 기록·시세 결합을 가짜 응답으로 검사하는 테스트 25건(tests/test_sources.py)을 두었다. 실제 수집은 키를 발급받은 뒤 로컬 환경에서 실행해 엔드포인트 경로·필드명을 실제 응답으로 확인할 예정이다(8절 일정). 출처 표의 메뉴 이름·이용 조건과 금융투자교육원 사전교육(약 1시간, 수료 후 증권사에 이수번호 등록)은 검색으로 확인했고,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이벤트는 시도 단위의 상태 전이로 생성된다: 완료 여부 → (완료일 때만) 퀴즈 시도 → (시도일 때만) 통과, 미완료일 때만 이탈, 저장은 관심 주제에 따라 독립. 따라서 ‘이탈이면서 완료’ 같은 모순 행은 구성상 생길 수 없고, QA 검사 event_logic_* 가 매 학습마다 이를 확인한다(아래 표의 논리 제약 행).</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 열은 서로 배타적인 범주가 아니라 한 시도에 붙는 플래그다. 그래서 ‘완료 + 퀴즈 통과 + 저장 + 이탈’의 합(134,933)은 시도 수(109,674)보다 25,259 많고, 이 차이는 퀴즈 통과(24,401, 이미 완료에 포함) + 저장(12,570, 독립 플래그) − 미완료이면서 이탈하지 않은 시도(11,712, 네 열 어디에도 잡히지 않음)로 정확히 분해된다. 1차본 수치(108,777건, 합 134,041건, 차이 25,264건)도 24,187 + 12,825 − 11,748로 똑같이 분해된다.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밀도(사용자×단원 고유 쌍의 비율)는 생성 결과로 계산한 값이며 생성기의 목표나 제약이 아니다. 생성기는 주마다 활동 학습자를 뽑고, 각자 1~8개 단원을 효용(주제 선호·관심 주제·수준 차이·인기·이미 본/통과한 단원) 순위로 고른다. 선수 미이수는 단원 선택에 들어가지 않고, 고른 뒤의 완료·통과 로짓만 미이수 선수 단원 1개당 0.8(최대 2개)씩 낮춘다.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행동 점수는 한 시도의 플래그를 max(조회 1, 완료 2, 퀴즈 통과 3, 저장 3) 하나로 줄이므로 같은 시도의 플래그가 중복 집계되지 않는다. 같은 학습자가 같은 단원을 여러 주에 걸쳐 다시 시도하면 반응 행렬에서 점수를 더한다. 반복 학습을 더 강한 신호로 보는 설계 선택이며 etfrec/features.py에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로그(CSV)를 연결할 때는 normalize_event_flags가 같은 논리(통과 ⇒ 퀴즈 ⇒ 완료, 이탈 ⇒ 미완료)로 행을 맞추고 고친 행 수를 데이터 요약(event_repairs)에 남긴다. 화면에서 임의 학습자의 기록을 받을 때도 완료와 이탈이 함께 들어오면 이탈을 끈다(2차본에서 고친 결함). 모의 데이터는 v1·v2 모두 고친 행이 0건이다.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가정값이다. 파이프라인이 없는 효과를 만들어 내지 않는지는 연령·연소득·성별 열을 학습자 사이에서 열마다 섞은 위약 세계(학습자 15,000명, scripts/placebo_check.py)로 확인했다. 검증 1위는 인구통계를 쓰지 않는 ‘아이템 CF(λ=10, confidence) ⊕ 규칙[관심 주제+수준 일치] (α_u, λ=30)’였고(인구통계 미사용 1위와의 차이 +0.0000 [+0.0000, +0.0000]), 성별·소득 세그먼트를 쓰는 라우터도 쓰지 않는 라우터보다 낫지 않았다(성별 포함 − 성별·소득 제외 −0.0008 [−0.0021, +0.0005], 성별 제외 − 성별·소득 제외 −0.0013 [−0.0024, −0.0002]). 즉 위약 세계에서는 인구통계의 거짓 이점이 나타나지 않았다. 섞지 않은 원래 세계에서는 인구통계(연령대·소득분위)를 쓰는 설정이 검증 1위였고 인구통계 미사용 1위가 테스트에서 −0.0097 [−0.0135, −0.0063]였다. 1차본은 ‘--effect 0 위약 세계’로 확인한다고 썼지만 실행하지 않았고, 그 세계는 위약도 아니다(연령·소득이 목적·경험·성향·기기를 거쳐 행동에 남는다).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66개 · 4주(검증: 0~1주로 학습해 2주차에서 평가·선택, 테스트: 0~2주로 다시 학습해 3주차에서 보고)</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시도(행 수)</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109,674건 — 한 행이 한 번의 학습 시도이고, 아래 이벤트 열은 그 시도에 붙는 다중 플래그라 합계가 시도 수를 넘는 것이 정상이다</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완료 / 미완료</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50,805 / 58,869</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퀴즈 시도 ⊆ 완료</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35,448</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 퀴즈 통과 ⊆ 퀴즈 시도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24,401</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이탈 ⊆ 미완료(완료와 동시 불가)</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47,157</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저장(독립 플래그) · 재학습</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12,570 · 2,726</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논리 제약(QA로 검증, 모두 0이어야 함)</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이탈∧완료 0건 · 통과∧¬퀴즈 0건 · 퀴즈∧¬완료 0건</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검산: 네 열의 합 − 시도 수</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134,933 − 109,674 = 25,259 = 통과 24,401 + 저장 12,570 − 미완료·비이탈 11,712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97,662 · 9.9%</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6,685 · 3,000 (후보 35~66개)</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6,544 · 3,002 (후보 34~66개)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spacing w:after="120" w:line="312" w:lineRule="auto"/>
        <w:jc w:val="both"/>
      </w:pPr>
      <w:r>
        <w:rPr>
          <w:rFonts w:ascii="맑은 고딕" w:cs="맑은 고딕" w:eastAsia="맑은 고딕" w:hAnsi="맑은 고딕"/>
          <w:sz w:val="21"/>
          <w:szCs w:val="21"/>
        </w:rPr>
        <w:t xml:space="preserve">가명 번호만으로는 충분하지 않다는 전제로 설계한다(2차본 보강). 연령대·소득분위·성별·경험·성향·투자 목적·기간·기기가 결합되면 외부 자료와 교차해 재식별될 수 있으므로(모자이크 효과), 2차본은 (1) 저장 자체를 줄이고 (2) 밖으로 나가는 학습자 단위 표만 k-익명화하며 (3) 매 학습마다 감사 결과와 검사를 기록한다. 코드로 강제되는 항목과 코드가 강제하지 않는 조직 정책을 나눠 manifest.json의 privacy.policy에 함께 기록한다(etfrec/privacy.py). 제도 근거: 개인정보보호법 과징금 상한은 전체 매출액의 3%(2023년 9월 시행)이고 2026년 3월 개정으로 반복·중대 위반에는 최대 10% 특례가 도입되었으며(9월 시행), 가명정보 처리 가이드라인은 2026년 3월 31일 위험도 기반 체계로 전면 개정되었다.</w:t>
      </w:r>
    </w:p>
    <w:p>
      <w:pPr>
        <w:keepNext/>
        <w:spacing w:after="60" w:before="160"/>
      </w:pPr>
      <w:r>
        <w:rPr>
          <w:rFonts w:ascii="맑은 고딕" w:cs="맑은 고딕" w:eastAsia="맑은 고딕" w:hAnsi="맑은 고딕"/>
          <w:b/>
          <w:bCs/>
          <w:color w:val="1F6F55"/>
          <w:sz w:val="19"/>
          <w:szCs w:val="19"/>
        </w:rPr>
        <w:t xml:space="preserve">표 9. 개인정보 점검(etfrec/privacy.py, manifest.privacy)</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3765"/>
        <w:gridCol w:w="3388"/>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점검 항목</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현재 번들(모의 데이터 v2, 측정값)</w:t>
            </w:r>
          </w:p>
        </w:tc>
        <w:tc>
          <w:tcPr>
            <w:tcW w:type="dxa" w:w="33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처리·기준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저장물</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프로필 열: user, age_band, income_q, gender, exp, risk, mobile, interest1, interest2, placement, goal, horizon / 번들 로그 열(허용 목록): user, item, week, seq, hour, complete, quiz, quiz_pass, save, drop, replay, score, understood(일·분 없음) / learner_profiles.csv: 연령대·소득분위 이름</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연령·연소득은 학습 중 메모리에서 소득 분위 경계 계산에만 쓰고 저장하지 않음. 학습 스키마 밖 열(외부 회원 ID·분 단위 시각·IP 등)은 읽을 때 버리고 번들 로그에는 허용 열만 남김(QA가 확인). 모델은 원래 구간 코드만 쓰므로 결과 동일(v1 14개 값 5자리 일치 재확인)</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 준식별자 8개 조합(k=5)</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5,273개 셀 중 k 미만 4,390개 셀(7,612명, 50.7%)</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표는 export-deid를 거친 것만 반출. 열 제거만으로 충족하려면 income_q → goal → age_band 순서로 열을 빼야 함(감사 기록)</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export-deid 반출 표</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일반화 8단계(성별·기기·경험·성향·기간·목적·소득분위·연령대) → 국소 억제 43행 → 삭제 0행, 15,000/15,000행, 최소 셀 5명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모든 셀 ≥ 5를 다시 검증한 뒤에만 파일을 씀. 행은 반출 값으로 정렬해 원래 학습자 순서(가명 번호)를 지움. 가명 번호·관심 주제·진단 수준은 내보내지 않음</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잎 크기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288개 중 20명 미만 162개(1,293명), 최소 1명. λ=∞라 모든 잎이 전역 1위 설정을 씀(잎 챔피언 1종)</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크기는 보장되지 않음(1차본의 ‘잎 최소 20명’ 서술 정정): 20명 미만 노드는 상위 노드 추정을 그대로 씀. 추천 경로 출력은 노드 크기를 구간(‘20명 미만’·‘20~49명’ 등)으로만 보이고 원시 평균을 내보내지 않음(부모−형제 차분으로 숨긴 노드를 복원하지 못하게)</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공개 집단표(group_results·advanced_exposure)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5명 미만 집단 0행 제외, 활성 5명 미만 0행은 활성 기준 값 비움(보완 억제 0건), 최소 셀 359명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변수에서 하나만 숨기면 가장 작은 집단을 하나 더 숨김(보완 억제: 함께 공개되는 합계와의 차분으로 복원되지 않게). QA published_group_cells_ge_5</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서빙 학습자 표(/api/learners, learner_profiles.csv)</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준식별자 8개 + 학습 시간대 + 관심 주제 조합: 14,947개 셀 중 k 미만 14,947개(15,000명, 100.0%)</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표라 k-익명 표가 아님. 학습자 조회 API와 추천·비교·로드맵·유형 API의 learner_id(기준 학습자 번호) 입력은 로컬 실행에서만 기본으로 켜고 다른 주소로 열면 --expose-learners가 있어야 켬(꺼져 있으면 403). 서빙 API로 고를 수 있는 기법은 화면의 기법 목록뿐(임의 설정 번호는 개발 모드)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 QA</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5/5건 통과: bundle_profiles_no_raw_age_income, bundle_log_no_day_minute, feature_store_no_raw_age_income, published_group_cells_ge_5, privacy_audit_columns_complete</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조립 직후·저장 전에 실행. 하나라도 실패하면 학습을 멈추고 번들을 저장하지 않음</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10. 개인정보 정책 중 코드로 강제되는 항목(manifest privacy.policy.implemented)</w:t>
      </w:r>
    </w:p>
    <w:tbl>
      <w:tblPr>
        <w:tblW w:type="dxa" w:w="9412"/>
        <w:tblBorders>
          <w:top w:val="single" w:color="BBBBBB" w:sz="6"/>
          <w:left w:val="none" w:sz="0"/>
          <w:bottom w:val="single" w:color="BBBBBB" w:sz="6"/>
          <w:right w:val="none" w:sz="0"/>
          <w:insideH w:val="single" w:color="DDDDDD" w:sz="4"/>
          <w:insideV w:val="none" w:sz="0"/>
        </w:tblBorders>
      </w:tblPr>
      <w:tblGrid>
        <w:gridCol w:w="6400"/>
        <w:gridCol w:w="3012"/>
      </w:tblGrid>
      <w:tr>
        <w:trPr>
          <w:tblHeader/>
        </w:trPr>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코드로 강제되는 항목</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강제·확인하는 코드와 검사</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원시 연령·연소득 비저장: 학습 중 메모리에서 소득 5분위 경계 계산에만 쓰고, 번들 프로필·특징 저장소·learner_profiles.csv에는 연령대·소득분위 구간만 남긴다(모델은 원래 구간 코드만 쓰므로 학습 결과는 같다)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privacy.generalize_profiles, features.FeatureStore(age·income 필드 없음), QA bundle_profiles_no_raw_age_income, QA feature_store_no_raw_age_income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이력 최소화: 번들 로그는 허용 열(가명 번호·단원·주차·4개 시간대·주 안 순서·시도 플래그·점수)만 남기고 일·분과 학습 스키마 밖 열(외부 회원 ID·분 단위 시각·IP 등)은 버린다. 학습 입력을 읽을 때도 스키마 밖 열은 버리고 이름을 데이터 요약에 남긴다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privacy.minimize_log, data.Dataset.validate, QA bundle_log_no_day_minute(로그 열 ⊆ 허용 목록)</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 최소화: /api/learners·학습자 상세는 연령대·소득분위 코드와 이름만 반환하고, 소득 미입력 대체값은 학습 때 저장한 중앙값(집계)을 쓴다. 학습자 조회 API와 추천·비교·로드맵·유형 API의 learner_id(기준 학습자 번호) 입력은 로컬 주소(127.0.0.1)로 띄울 때만 기본으로 켜지고, 다른 주소로 열면 --expose-learners를 줄 때만 켜진다. API로 고를 수 있는 기법은 화면의 기법 목록(기법군 1위·라우터)뿐이고 임의 설정 번호는 개발 모드에서만 받는다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service.RecommendationService.learners/learner, FeatureStore.income_median, api.create_app(expose_learners), cli serve --expose-learners, service.resolve_algorithm(allow_any_config), tests/test_privacy.py</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설계 최소화: /api/designs는 쓰기 전에 연령·연소득 원값을 구간 코드로 바꾸고(숫자로 읽을 수 없으면 버림), 설계 이름과 모든 문자열의 연령·소득 표현(예: 45세, 45세 이상, 연봉 5,000만원, 연소득은 7천만원)과 키워드 없이 쓴 금액(1억 2천만원, 5천만원, 7000만원; 소득으로 보고 통째로)을 구간 이름으로 가리며, 이벤트의 일·분은 버리고 시각은 4개 시간대로 바꾼다. 그 밖의 표현(이름 등)은 가리지 못한다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privacy.scrub_design, privacy.scrub_text, api.save_design</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작은 셀 비공개: 추천 경로 출력은 노드 크기를 구간('20명 미만'·'20~49명'…)으로만 내보내고 원시 평균을 내보내지 않는다(부모−형제 차분으로 숨긴 노드를 복원하지 못하게). 집단별 표(group_results·advanced_exposure)는 5명 미만 집단을 빼고 활성 5명 미만이면 활성 기준 값을 비우며, 한 변수에서 하나만 빠지면 가장 작은 집단을 하나 더 빼거나 비워(보완 억제) 합계 차분으로 복원되지 않게 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router.ShrinkRouter.path, privacy.suppress_small_groups, QA published_group_cells_ge_5</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감사 기록: 저장 준식별자 8개 조합의 k=5 결과·열 제거 일반화 계획·export-deid 일반화 요약·실제 라우터 잎 크기, 서빙 학습자 표의 확장 조합(준식별자 8개 + 학습 시간대 + 관심 주제) k 결과를 기록하고, 감사가 프로필·로그·학습자 표의 저장 열을 빠짐없이 분류하는지 확인한다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privacy.privacy_audit, QA privacy_audit_columns_complete</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가명처리 도구(운영 원본용, 모의 데이터 학습에는 쓰지 않음): 외부 회원 ID → HMAC-SHA256 가명(16자) → 가명 순서 연속 번호. 키는 환경변수 ETFREC_PSEUDO_KEY에서만 읽고 없거나 16자 미만이면 거부, 매핑표는 --mapping-out에만 쓰며 출력 폴더 안이면 거부, 학습 스키마 밖 열은 버린다. 매핑표 경로는 실제 경로(심볼릭 링크 해석)로 비교해 학습 입력 폴더와 겹치면 거부한다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privacy.build_pseudonymized_inputs, cli pseudonymize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반출 k-익명화: export-deid는 저장 프로필의 준식별자 8개 열만 일반화 계층 → 국소 억제로 k 이상(기본 5)으로 만든 뒤에만 파일을 쓴다(가명 번호·관심 주제·진단 수준은 내보내지 않는다). 행은 반출 값으로 정렬해 원래 학습자 순서를 지운다. 모델 학습 입력은 일반화하지 않는다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privacy.enforce_k_anonymity, privacy.export_deid, cli export-deid</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성별의 운영 비사용: 운영 라우터(RouterNoGender)는 성별을 쓰지 않는 설정만 후보로 두고 성별을 세그먼트에서 뺀다(성별은 저장·진단에는 남는다)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pipeline.train router_settings(allowed_ng), tests/test_pipeline_service.py::test_gender_flip_invariance_operational</w:t>
            </w:r>
          </w:p>
        </w:tc>
      </w:tr>
    </w:tbl>
    <w:p>
      <w:pPr>
        <w:spacing w:after="100"/>
      </w:pP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조직 정책(코드가 강제하지 않음): </w:t>
      </w:r>
      <w:r>
        <w:rPr>
          <w:rFonts w:ascii="맑은 고딕" w:cs="맑은 고딕" w:eastAsia="맑은 고딕" w:hAnsi="맑은 고딕"/>
          <w:sz w:val="21"/>
          <w:szCs w:val="21"/>
        </w:rPr>
        <w:t xml:space="preserve">권한·망 분리: 학습 환경과 운영·가명처리 환경의 권한과 네트워크를 분리한다 / 역할 분리: 가명처리 담당(키 ETFREC_PSEUDO_KEY·매핑표 보관)과 모델 학습 담당을 나누고, 학습 담당은 키·매핑표에 접근하지 않는다 / 반출 심사: export-deid 결과를 포함해 학습 환경 밖으로 나가는 자료는 반출 전에 적정성 심사를 거친다 / 접근 기록 감사: 학습 입력·번들·매핑표 접근 기록을 남기고 주기적으로 점검한다 / 외부 결합·공유: 다른 기관 자료와 결합하거나 공유할 때는 개인정보 이노베이션 존(또는 결합전문기관)에 준하는 통제 환경에서만 한다 / 보관·삭제: 학습 입력·번들·저장 설계의 보관 기간을 정해 문서화하고, 기간이 지나거나 탈퇴하면 삭제한다 / 재식별 금지: 가명정보를 특정 개인을 알아보는 목적으로 처리하지 않고, 재식별 가능성을 발견하면 처리를 멈추고 보고한다 / 서빙 API 접근 통제: 학습자 단위 정보를 주는 서빙 API(학습자 조회·추천·설계 저장)는 학습 환경 안에서만 띄우고, 밖에 열 때는 인증·접근 기록을 둔다 / 비밀 값 관리: 가명처리 키와 API 인증키는 명령줄에 쓰지 않고(셸 기록에 남음) 입력 프롬프트(read -rs)나 권한을 제한한 파일로 환경변수에 넣는다. 실제 로그를 연결하기 전에 이 항목들을 운영 절차로 문서화하고 법률 검토를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실제 개인정보를 처리하지 않는다. 실제 서비스에서 추천을 제공하는 처리는 이용자 동의나 서비스 계약 이행을 근거로 하고, 개인정보보호법의 가명정보 특례(통계 작성·과학적 연구·공익적 기록 보존 목적이면 동의 없이 처리 가능)는 모델 개선 연구나 다른 자료와의 결합처럼 수집 목적 밖의 재이용에만 쓴다. 어느 근거로 처리하는지는 실제 로그를 연결하기 전 법률 검토에서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모델 학습 입력은 일반화하지 않는다(그러면 학습 결과가 바뀐다). 학습은 접근 통제된 환경에서 가명 데이터로 하고, 학습 환경 밖으로 나가는 학습자 단위 표는 export-deid를 거친다. 가명처리 결과(학습 입력)에는 소득 분위 경계 계산을 위해 원시 연령·연소득이 남는다. learner_profiles.csv와 학습자 조회 API는 내부 서빙용이며 k-익명 표가 아니다. 서빙 API에는 인증이 없으므로 학습 환경 밖에 열지 않는다(조직 정책). 저장 설계는 이름·모든 문자열의 연령·소득 표현을 가리지만 이름·주소 같은 그 밖의 표현은 가리지 못한다.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자료는 비상업 수업 범위에서 공식 API와 이용자가 내려받은 파일만 쓴다(4.3절).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추천을 담은 API 응답(추천·첫 방문 추천·비교·로드맵·유형)에 ‘특정 ETF의 매수·매도를 권유하지 않는다’는 고지를 넣고, ETF 유형이 들어가는 로드맵·유형 응답과 유형 화면에는 ‘유형 안내는 학습 순서를 돕기 위한 분류이지 개별 상품의 적합성 판단이 아니다’라는 문구를 더했으며(테스트로 확인),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163개 신호와 2,640개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20문항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반영하고, 투자 기간이 1년 미만이면 ISA(절세 계좌) 단원에 ‘의무가입 3년’ 주의를 붙인다. ⑤ ETF 유형 연결: 목적 템플릿에 연결된 유형 카드로, 각 유형의 필요 개념 단원을 모두 통과해야 열린다(안정 성향이면 위험 5 유형은 권장 목록에서 빠지고 ‘학습용(권장 아님)’으로만 보인다). 유형 카드의 ‘적합 목적’도 같은 템플릿에서 계산한다. 각 단계의 단원은 선수 단원이 먼저 오도록 위상정렬되고 상태(통과·학습 가능·잠김)와 남은 학습 시간을 갖는다. 세제·규제 단원(ISA 3단원, 과표기준가, IRP 70% 한도, 레버리지 거래 요건)에는 기준일을 단 학습 요점·계산 예시가 붙어 로드맵 화면에서 펼쳐 볼 수 있다(부록 F).</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25개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11.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절세 계좌 1, 절세 계좌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절세 계좌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284분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 절세 계좌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 절세 계좌 2</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23개 · 약 268분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 절세 계좌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해외 ETF 3,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 액티브·ESG</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312분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24개 · 약 276분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 절세 계좌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22개 · 약 246분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이후 단계의 학습 가능 단원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20문항(수준 1 9개·수준 2 6개·수준 3 5개, 18개 단원; 2차본에서 ISA·과표기준가·IRP 70% 한도·기본예탁금 문항 추가)으로 구성했고 각 문항은 카탈로그 단원 하나에 대응한다(부록 B). 해외 ETF 3과 연금계좌 ETF 2에는 문항이 둘씩 있어, 두 문항을 모두 답하고 맞혀야 그 단원을 ‘진단 통과’로 기록하고(하나만 답하면 판정 보류) 이벤트는 단원마다 한 번만 만든다. 레버리지 거래 요건 문항(q20)은 규제 상식이라 변동성 위험 단원 전체를 검사하지 못하므로 수준 판정에만 쓰고 단원을 통과 처리하지 않는다. 정답 위치는 보기 네 자리에 다섯 개씩 나눴다(1차본은 16문항 중 13문항이 두 번째 보기였다). 정답률은 답한 문항으로 계산하되, 수준마다 최소 응답 수를 둔다(몇 문항만 골라 답해 높은 수준이 나오지 않게). 수준1 문항 5개·수준2 문항 3개 이상을 답하고 수준 1 정답률 60% 이상, 수준 2 정답률 50% 이상이면 수준 2, 여기에 수준3 문항 3개 이상을 답하고 수준 2 정답률 75% 이상, 서로 다른 주제의 수준 3 문항 2개 이상 정답, 수준 3 정답률 60% 이상이면 수준 3이다. 최소 응답 수를 못 채운 수준은 판정을 보류하고 그 아래 수준에서 시작한다. ‘진단 통과’ 이벤트는 통과 단원 표시에만 쓰고 수준 갱신 규칙(자기 수준보다 높은 단원의 퀴즈 통과 → +1)에는 넣지 않는다. 수준은 이미 퀴즈 판정에 반영되어 있어, 넣으면 보류한 수준이 다시 올라가기 때문이다. 틀린 문항은 기록하지 않고(진단은 배치이지 실패 기록이 아니다)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12.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일부 국공채·단기채권형은 IRP 안전자산(30% 몫)으로 분류될 수 있다(금융사 기준)</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적격 TDF 등 일부 상품은 IRP 위험자산 한도의 예외로 분류될 수 있다(한도·분류는 금융사 확인)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레버리지·인버스는 상품 구성(장내 선물만인지, 장외 스와프를 쓰는지 등)에 따라 매매차익 과세 여부가 다르다. 과세 대상이면 보유기간과세(실제 차익과 과표기준가 상승분 중 작은 금액에 15.4%), 분배금은 15.4%. 거래 전 운용사·KRX의 과세유형 공시 확인</w:t>
            </w:r>
          </w:p>
          <w:p>
            <w:pPr>
              <w:spacing w:after="20" w:line="264" w:lineRule="auto"/>
              <w:jc w:val="left"/>
            </w:pPr>
            <w:r>
              <w:rPr>
                <w:rFonts w:ascii="맑은 고딕" w:cs="맑은 고딕" w:eastAsia="맑은 고딕" w:hAnsi="맑은 고딕"/>
                <w:color w:val="5D665D"/>
                <w:sz w:val="16"/>
                <w:szCs w:val="16"/>
              </w:rPr>
              <w:t xml:space="preserve"> / 연금저축·IRP 편입 불가(ISA 편입 가능 여부는 금융사 안내 확인)</w:t>
            </w:r>
          </w:p>
          <w:p>
            <w:pPr>
              <w:spacing w:after="20" w:line="264" w:lineRule="auto"/>
              <w:jc w:val="left"/>
            </w:pPr>
            <w:r>
              <w:rPr>
                <w:rFonts w:ascii="맑은 고딕" w:cs="맑은 고딕" w:eastAsia="맑은 고딕" w:hAnsi="맑은 고딕"/>
                <w:color w:val="9A6A00"/>
                <w:sz w:val="16"/>
                <w:szCs w:val="16"/>
              </w:rPr>
              <w:t xml:space="preserve"> / (2026-10-13 기준) ① 금융투자교육원 레버리지 ETP 사전교육(약 1시간, 4,000원) 이수 후 증권사에 이수번호 등록. ② 기본예탁금 1,000만원 이상(2020년 도입; 투자자 등급별 금액과 추가 매수 적용 방식은 증권사 기준 확인). ③ 단일종목 레버리지·인버스: 2026-07-31부터 현금 3,000만원 이상(대용증권 불인정, 매도대금은 결제 후 인정, 신규·추가 매수 모두), 2026-08-19부터 사전교육 총 3시간(기본 1시간 + 심화 2시간)과 신규 투자자 한국거래소 모의거래 5시간(5거래일 이상). ④ 해외 상장 레버리지 ETP: 사전교육(2025-12-15)과 기본예탁금 1,000만원(2026-05-22, 기존 거래자 제외, 인버스 포함 여부·등급별 금액은 증권사마다 다름). 요건을 채우지 못하면 매수 주문이 들어가지 않는다.</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13.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행렬(시도마다 조회 1·완료 2·통과/저장 3의 최댓값, 같은 단원의 반복 시도는 합산),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163개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1, 세그먼트 인기 93(변수 조합 31 × λ 3), 개인화 인기 1, 콘텐츠 코사인 6, 사용자 CF 27(k 3 × 인구통계 혼합 9), 아이템 CF 8, 표본 MF 6, BPR MF 6(2차본), 관측 MF 1, MLP 1, MLP 쌍별 2종·목표 정렬 MLP 1(2차본), 규칙 가산점 8(관심 주제·수준 일치·연령 생애주기·소득 구간·위험성향·모바일·투자 목적·로드맵 단계), 맥락 신호 2</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2,640개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MF_BPR 6 · POP 1 · MF_OBS 1 · MLP 1 · MLP_BPR 1 · MLP_BPRU 1 · MLP_NEXT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선택(반복 2회, 표본 20명 미만 노드는 상위 노드 추정을 그대로 씀 — 잎 크기를 보장하지는 않음).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학습 QA 116건 모두 통과: 가드레일·중복 80, 지표 함수 일치 7, 신경망 학습 확인 9(쌍별 모델은 쌍 사용자만 학습했는지 포함), 활성 지표 항등식·순위 3, 이벤트 논리 2, Top-K 형식 2, 누수 검사 1(기준 주 이후 행의 모든 열을 섞고 행을 더한 로그와 이후 행을 지운 로그로 만든 특징 저장소가 모든 필드에서 같음), 개인정보 5, 기타 데이터·선택 검사 7. 오프라인/온라인 Top-5 일치는 자동화 테스트(test_offline_online_parity)로, 재현성은 같은 seed로 다시 학습해 결과 파일을 비교하는 방식(v1 회귀 스크립트)으로 확인한다.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저장소·일반화 프로필·축약 로그 — 원시 연령·연소득, 일·분 없음), manifest.json(선택 기록·학습 감사·QA·개인정보 감사), 결과 CSV(테스트·검증·집단별·노출, 5명 미만 집단 제외)</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14.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검색·불러오기(연령대·소득분위만 표시, 새 학습자로 복사하면 구간 대표값을 채우고 원값이 아님을 표시)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20문항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링크·학습 요점,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저장·불러오기(연령·연소득 원값은 구간 코드로 바꿔 저장),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15.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 선수 관계 80개(순환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20문항·채점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단위 채점·정답 위치 균형. 문항 확장(진단 단원 18개 × 단원당 2문항 = 36문항)과 전문가 검수는 11월 2주</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세제·규제 단원 학습 요점(2차본)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완료(6단원)</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ISA 3단원·과표기준가·IRP 70% 한도·레버리지 거래 요건. 나머지 단원은 교육 자료 링크, 본문 확장은 11월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가짜 응답 테스트 25건. 개발 환경의 네트워크 제한으로 실제 수집은 키 발급 후 로컬에서 실행 예정</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개인정보(저장 최소화·가명처리·k-익명 반출·감사)</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조직 정책은 운영 전</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 QA 5건, 테스트 21건. 권한 분리·반출 심사 같은 조직 정책은 코드가 강제하지 않음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2,640개 설정, QA 116/116</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18장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94건(지표 일치·가드레일·로드맵·퀴즈·도메인 규칙·KRX 분류·수집 정책·개인정보·파서·파이프라인·API·오프라인/온라인 일치, 전체 재현 1건은 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검증 단계에서는 0~1주 로그로 특징과 모델을 만들어 2주차에서 설정을 선택·잠그고, 테스트 단계에서는 잠근 설정을 0~2주 로그로 다시 만든 특징과 모델로 3주차에서 보고한다(기준 주 이후의 로그는 어느 단계에서도 입력에 쓰지 않는다. 특징 저장소는 QA 누수 검사로 확인하고, 모델 학습 행과 목표 정렬 쌍은 기준 주 이전 로그만 넘기는 호출 구조로 보장한다). 정답은 다음 주에 관측된 퀴즈 통과 단원, 후보는 아직 통과하지 않은 단원 중 수준 가드레일(두 단계 위 차단)을 통과한 단원이며, Top-5를 고를 때 한 단계 위 단원은 최대 1개로 제한한다(목록 후처리). 지표는 사용자 평균 NDCG@5(주 지표), Hit@5, Diversity@5(Top-5 안의 단원 쌍 중 주제가 다른 쌍의 비율, 단원이 2개 미만이면 0), 선수 미이수 비율(Top-5 중 선수 단원을 통과하지 않은 단원 비율), 짧은 목록 비율(추천 목록이 5개 미만인 사용자 비율)이다. 차이의 95% 구간은 사용자 단위 쌍 부트스트랩 500회다.</w:t>
      </w:r>
    </w:p>
    <w:p>
      <w:pPr>
        <w:spacing w:after="120" w:line="312" w:lineRule="auto"/>
        <w:jc w:val="both"/>
      </w:pPr>
      <w:r>
        <w:rPr>
          <w:rFonts w:ascii="맑은 고딕" w:cs="맑은 고딕" w:eastAsia="맑은 고딕" w:hAnsi="맑은 고딕"/>
          <w:sz w:val="21"/>
          <w:szCs w:val="21"/>
        </w:rPr>
        <w:t xml:space="preserve">다음 주 정답이 없는 사용자(테스트 3,002명)는 IDCG가 0이라 NDCG가 수학적으로 정의되지 않는다. 처리 방식은 두 가지다. 전체 기준(노트북 규칙)은 이들을 0점으로 평균에 넣고, 활성 기준은 정답이 1개 이상인 사용자만 평균한다. 널리 쓰이는 구현도 갈린다. scikit-learn의 ndcg_score와 TorchMetrics의 RetrievalNormalizedDCG(기본 설정)는 정답이 없는 질의를 0으로 넣고, 평가 데이터를 만들 때 테스트 정답이 없는 사용자를 아예 빼는 연구도 많다. 그래서 2차본부터 두 값을 함께 보고한다. 활성 사용자는 ‘후보 안의 다음 주 통과 단원’이 1개 이상인 3,542명이다. 다음 주 통과 기록 자체가 있는 사용자는 3,565명이지만, 그중 23명은 통과 단원이 모두 후보 밖(이미 통과했거나 수준 가드레일에 걸린 단원)이라 어떤 방법도 맞힐 수 없어 활성에서 뺐다.</w:t>
      </w:r>
    </w:p>
    <w:p>
      <w:pPr>
        <w:spacing w:after="120" w:line="312" w:lineRule="auto"/>
        <w:jc w:val="both"/>
      </w:pPr>
      <w:r>
        <w:rPr>
          <w:rFonts w:ascii="맑은 고딕" w:cs="맑은 고딕" w:eastAsia="맑은 고딕" w:hAnsi="맑은 고딕"/>
          <w:sz w:val="21"/>
          <w:szCs w:val="21"/>
        </w:rPr>
        <w:t xml:space="preserve">정답 없는 사용자는 모든 방법에서 0점이므로 활성 기준 × 3,542 = 전체 기준 × 6,544가 모든 방법에 똑같이 성립한다(QA 검사 ndcg_active_identity). 따라서 방법 간 순위는 어느 기준이든 같고(QA 검사 active_rank_preserved), 전체 기준의 절대 차이는 활성 기준의 0.541배로 줄어든다. 유의성 판정(구간이 0을 포함하는지)은 항등식으로 보장되지는 않지만 이번 실행에서는 모든 방법에서 같았다. 반면 집단 비교는 집단마다 활성 비율이 달라 결론이 바뀔 수 있다(6.5절). 1차본은 전체 기준만 보고하고 그것을 ‘보수적 추정’이라고만 적었는데, 집단 비교에서는 보수적인 것이 아니라 활동량과 섞인 값이었다.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16. v1 재현 결과(테스트 NDCG@5). 2차본에서 쌍별·목표 정렬 기법군 4개를 더해도 기존 14개 수치는 그대로다</w:t>
      </w:r>
    </w:p>
    <w:tbl>
      <w:tblPr>
        <w:tblW w:type="dxa" w:w="9412"/>
        <w:tblBorders>
          <w:top w:val="single" w:color="BBBBBB" w:sz="6"/>
          <w:left w:val="none" w:sz="0"/>
          <w:bottom w:val="single" w:color="BBBBBB" w:sz="6"/>
          <w:right w:val="none" w:sz="0"/>
          <w:insideH w:val="single" w:color="DDDDDD" w:sz="4"/>
          <w:insideV w:val="none" w:sz="0"/>
        </w:tblBorders>
      </w:tblPr>
      <w:tblGrid>
        <w:gridCol w:w="3437"/>
        <w:gridCol w:w="1637"/>
        <w:gridCol w:w="1637"/>
        <w:gridCol w:w="818"/>
        <w:gridCol w:w="1883"/>
      </w:tblGrid>
      <w:tr>
        <w:trPr>
          <w:tblHeader/>
        </w:trPr>
        <w:tc>
          <w:tcPr>
            <w:tcW w:type="dxa" w:w="34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8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c>
          <w:tcPr>
            <w:tcW w:type="dxa" w:w="18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사용자 기준</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0.23768</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0.21800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0.21318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0.19810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0.16488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0.15427</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0.13825</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0.12862</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0.09856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0.08321</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 BCE)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0.07393</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BPR MF(미관측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0.10429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0.14480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쌍별(관측 음성)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0.07474</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0.10376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0.10638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0.14770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목표 정렬(다음 주 통과)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0.09509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0.13203</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766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 전체 기준(진한 막대)과 활성 사용자 기준(옅은 막대), 오른쪽 숫자는 선수 미이수 비율(모의 데이터 v2)</w:t>
      </w:r>
    </w:p>
    <w:p>
      <w:pPr>
        <w:keepNext/>
        <w:spacing w:after="60" w:before="160"/>
      </w:pPr>
      <w:r>
        <w:rPr>
          <w:rFonts w:ascii="맑은 고딕" w:cs="맑은 고딕" w:eastAsia="맑은 고딕" w:hAnsi="맑은 고딕"/>
          <w:b/>
          <w:bCs/>
          <w:color w:val="1F6F55"/>
          <w:sz w:val="19"/>
          <w:szCs w:val="19"/>
        </w:rPr>
        <w:t xml:space="preserve">표 17. 테스트 주차 결과(전체 = 테스트 사용자 6,544명, 활성 = 다음 주 정답이 있는 3,542명)</w:t>
      </w:r>
    </w:p>
    <w:tbl>
      <w:tblPr>
        <w:tblW w:type="dxa" w:w="9412"/>
        <w:tblBorders>
          <w:top w:val="single" w:color="BBBBBB" w:sz="6"/>
          <w:left w:val="none" w:sz="0"/>
          <w:bottom w:val="single" w:color="BBBBBB" w:sz="6"/>
          <w:right w:val="none" w:sz="0"/>
          <w:insideH w:val="single" w:color="DDDDDD" w:sz="4"/>
          <w:insideV w:val="none" w:sz="0"/>
        </w:tblBorders>
      </w:tblPr>
      <w:tblGrid>
        <w:gridCol w:w="2121"/>
        <w:gridCol w:w="862"/>
        <w:gridCol w:w="862"/>
        <w:gridCol w:w="928"/>
        <w:gridCol w:w="795"/>
        <w:gridCol w:w="928"/>
        <w:gridCol w:w="862"/>
        <w:gridCol w:w="2054"/>
      </w:tblGrid>
      <w:tr>
        <w:trPr>
          <w:tblHeader/>
        </w:trPr>
        <w:tc>
          <w:tcPr>
            <w:tcW w:type="dxa" w:w="21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방법</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전체</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활성</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Diversity@5</w:t>
            </w:r>
          </w:p>
        </w:tc>
        <w:tc>
          <w:tcPr>
            <w:tcW w:type="dxa" w:w="7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Hit@5</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선수 미이수</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짧은 목록</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전역 1위 대비 [95% 구간]</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규칙(검증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전역 1위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제외) = 운영</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0.0000 [0.0000, 0.0000]</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포함)</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0.1329</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0.2455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0.929</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-0.0009 [-0.0027, 0.0010]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인구통계 미사용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-0.0097 [-0.0135, -0.0063]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라우터(성별·소득 제외)</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-0.0110 [-0.0146, -0.0070]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세그먼트 인기(A/B 대조군 A)</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0.1166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0.2154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0.987</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0.504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-0.0172 [-0.0213, -0.0128]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운영 라우터 + 선수 가드레일</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0.1075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0.1986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0.520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-0.0263 [-0.0305, -0.0216]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인기</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0.1037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0.1915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1.000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-0.0301 [-0.0343, -0.0251]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사용자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0.1014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0.1874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-0.0323 [-0.0375, -0.0266]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MLP(9주차, BCE)</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0.0858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0.324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-0.0480 [-0.0527, -0.0422]</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아이템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0.0826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0.1527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-0.0511 [-0.0565, -0.0451]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정렬(다음 주 통과)</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0.0783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0.1447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-0.0554 [-0.0610, -0.0495]</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0.1435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0.941</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0.641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-0.0561 [-0.0612, -0.0502]</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MF(미관측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0.1429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-0.0564 [-0.0624, -0.0498]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기반</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0.1387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0.884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0.797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-0.0587 [-0.0648, -0.0523]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MF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0.1265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0.816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-0.0653 [-0.0712, -0.0587]</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관측 MF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0.1258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-0.0657 [-0.0711, -0.0593]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0.0662</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0.663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-0.0675 [-0.0728, -0.0611]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무작위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0.0406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0.974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0.870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-0.0932 [-0.0994, -0.0868]</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1위(#520)는 ‘규칙[관심 주제+수준 일치+모바일·짧은 콘텐츠+로드맵 단계 우선순위](base=연령대+소득분위)’다. 2차본에서 추가한 로드맵 단계 우선순위 신호가 선택되었다. 검증 상위 8개 설정은 모두 규칙 계열이다. 이들은 모두 로드맵 단계 우선순위 신호를 포함하고, 1개가 투자 목적 일치 신호를 포함한다(표 20). 하이브리드(CF 혼합)는 밀도 10%의 희소한 세계에서 규칙을 넘지 못했고, 운영 라우터는 λ=∞(전역 1위로 완전 수축)를 골라 모든 세그먼트에 전역 1위 설정을 배정했으므로 테스트 결과가 전역 1위와 같다(6.4절). ‘세그먼트 인기(A/B 대조군 A)’ 행은 7.3절 온라인 실험의 대조군(성별을 쓰지 않는 세그먼트 인기 설정 중 검증 1위, ‘세그먼트 인기[연령대+소득분위](λ=80)’)을 같은 주차에서 잰 평가 전용 행이며, 화면의 기법 선택에는 넣지 않았다(작은 세그먼트 설정을 API로 고르지 못하게 한 개인정보 원칙, 4.5절).</w:t>
      </w:r>
    </w:p>
    <w:p>
      <w:pPr>
        <w:pStyle w:val="Heading3"/>
        <w:spacing w:after="80" w:before="200"/>
      </w:pPr>
      <w:r>
        <w:rPr>
          <w:rFonts w:ascii="맑은 고딕" w:cs="맑은 고딕" w:eastAsia="맑은 고딕" w:hAnsi="맑은 고딕"/>
        </w:rPr>
        <w:t xml:space="preserve">손실 함수와 학습 목표의 비교(2차본 추가 실험)</w:t>
      </w:r>
    </w:p>
    <w:p>
      <w:pPr>
        <w:spacing w:after="120" w:line="312" w:lineRule="auto"/>
        <w:jc w:val="both"/>
      </w:pPr>
      <w:r>
        <w:rPr>
          <w:rFonts w:ascii="맑은 고딕" w:cs="맑은 고딕" w:eastAsia="맑은 고딕" w:hAnsi="맑은 고딕"/>
          <w:sz w:val="21"/>
          <w:szCs w:val="21"/>
        </w:rPr>
        <w:t xml:space="preserve">중간 점검에서 ‘BCE 손실 때문에 딥러닝 결과가 무효이며 BPR로 다시 학습해야 한다’는 지적을 받아, 같은 후보·정답·후처리로 네 가지 변형을 추가했다. 아래 표는 같은 테스트 사용자에 대한 사용자 단위 쌍 부트스트랩 차이(95% 구간)다. 각 행은 손실 형태·음성 정의·레이블 중 하나를 바꾼 짝이지만 학습 범위가 다르다. 점별 MLP는 관측 행이 있는 모든 사용자를 학습하고, 쌍별·목표 정렬 MLP는 쌍에 나온 사용자(학습 주에 통과가 있는 사용자)만 학습하며 나머지에게는 콘텐츠 유사도 대체 점수를 준다. 그래서 전체 사용자 차이와 함께 ‘모든 신경망이 학습한 사용자’(v1 4,696명, v2 3,929명)로 좁힌 차이를 보고한다. 한 가지만 바꾼 비교는 후자다.</w:t>
      </w:r>
    </w:p>
    <w:p>
      <w:pPr>
        <w:keepNext/>
        <w:spacing w:after="60" w:before="160"/>
      </w:pPr>
      <w:r>
        <w:rPr>
          <w:rFonts w:ascii="맑은 고딕" w:cs="맑은 고딕" w:eastAsia="맑은 고딕" w:hAnsi="맑은 고딕"/>
          <w:b/>
          <w:bCs/>
          <w:color w:val="1F6F55"/>
          <w:sz w:val="19"/>
          <w:szCs w:val="19"/>
        </w:rPr>
        <w:t xml:space="preserve">표 18. 신경망 변형의 쌍 비교(테스트 NDCG@5 차이, 사용자 단위 쌍 부트스트랩 95% 구간; ‘공통 학습’ = 네 신경망이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132"/>
        <w:gridCol w:w="2574"/>
        <w:gridCol w:w="1177"/>
        <w:gridCol w:w="1177"/>
        <w:gridCol w:w="1177"/>
        <w:gridCol w:w="1175"/>
      </w:tblGrid>
      <w:tr>
        <w:trPr>
          <w:tblHeader/>
        </w:trPr>
        <w:tc>
          <w:tcPr>
            <w:tcW w:type="dxa" w:w="213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25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 학습</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17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 학습</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가중 MSE(미관측 표본 0) → 쌍별 BPR(미관측 음성)</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 점별 BCE → 쌍별(음성은 같은 사용자의 미통과 시도, 그런 시도가 없으면 미관측 단원(v2 쌍의 3.2%))</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 미통과 시도 → 미관측 단원(두 모델의 학습 범위는 같다)</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전체(손실 + 음성 정의)</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 주 w에 처음 통과한 단원 vs 그 주까지 통과하지 않은 단원</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 무작위</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참고</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−0.0067 [−0.0117, −0.0017]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−0.0098 [−0.0155, −0.0041]</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+0.0452 [+0.0398, +0.0507]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+0.0521 [+0.0439, +0.0600]</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19. 신경망 비교의 사용자군 분해(쌍 부트스트랩 95% 구간)</w:t>
      </w:r>
    </w:p>
    <w:tbl>
      <w:tblPr>
        <w:tblW w:type="dxa" w:w="9412"/>
        <w:tblBorders>
          <w:top w:val="single" w:color="BBBBBB" w:sz="6"/>
          <w:left w:val="none" w:sz="0"/>
          <w:bottom w:val="single" w:color="BBBBBB" w:sz="6"/>
          <w:right w:val="none" w:sz="0"/>
          <w:insideH w:val="single" w:color="DDDDDD" w:sz="4"/>
          <w:insideV w:val="none" w:sz="0"/>
        </w:tblBorders>
      </w:tblPr>
      <w:tblGrid>
        <w:gridCol w:w="2151"/>
        <w:gridCol w:w="874"/>
        <w:gridCol w:w="874"/>
        <w:gridCol w:w="1613"/>
        <w:gridCol w:w="1613"/>
        <w:gridCol w:w="2287"/>
      </w:tblGrid>
      <w:tr>
        <w:trPr>
          <w:tblHeader/>
        </w:trPr>
        <w:tc>
          <w:tcPr>
            <w:tcW w:type="dxa" w:w="215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사용자군(테스트)</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사용자</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사용자</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MLP 쌍별(미관측 음성) − MLP, v1</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같은 비교, v2</w:t>
            </w:r>
          </w:p>
        </w:tc>
        <w:tc>
          <w:tcPr>
            <w:tcW w:type="dxa" w:w="228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 차이</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학습(학습 주에 통과 있음)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4,696</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3,929</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모델 모두 학습된 임베딩 점수</w:t>
            </w:r>
          </w:p>
        </w:tc>
      </w:tr>
      <w:tr>
        <w:tc>
          <w:tcPr>
            <w:tcW w:type="dxa" w:w="215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기록은 있지만 통과 없음</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860</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1,687</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w:t>
            </w:r>
          </w:p>
        </w:tc>
        <w:tc>
          <w:tcPr>
            <w:tcW w:type="dxa" w:w="228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점별 MLP는 미통과 행으로 학습, 쌍별·목표 정렬 MLP는 콘텐츠 대체 점수</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기록 없음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907</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928</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같은 콘텐츠 대체 점수</w:t>
            </w:r>
          </w:p>
        </w:tc>
      </w:tr>
    </w:tbl>
    <w:p>
      <w:pPr>
        <w:spacing w:after="100"/>
      </w:pPr>
    </w:p>
    <w:p>
      <w:pPr>
        <w:spacing w:after="120" w:line="312" w:lineRule="auto"/>
        <w:jc w:val="both"/>
      </w:pPr>
      <w:r>
        <w:rPr>
          <w:rFonts w:ascii="맑은 고딕" w:cs="맑은 고딕" w:eastAsia="맑은 고딕" w:hAnsi="맑은 고딕"/>
          <w:sz w:val="21"/>
          <w:szCs w:val="21"/>
        </w:rPr>
        <w:t xml:space="preserve">세 가지가 보인다. 첫째, 학습 범위가 같은 두 쌍별 모델에서 음성을 ‘미통과 시도’에서 ‘미관측 단원’으로 바꾸면 v1·v2 모두 유의하게 개선되었다. 공통 학습 사용자에서 손실 형태만 바꾸면 v1에서 유의하게 개선되었고 v2에서 유의하게 나빠졌다. 둘째, 비판이 처방한 BPR(미관측 음성)은 v1에서 MLP보다 유의하게 개선되었고(MLP 점수 0.05325 → 0.10638, 공통 학습 사용자 +0.0671 [+0.0592, +0.0746]), v2에서는 전체로는 유의하게 나빠졌지만(−0.0081 [−0.0123, −0.0037]) 공통 학습 사용자로 좁히면 유의한 차이가 없었다(+0.0014 [−0.0038, +0.0058]). v2 전체의 차이는 학습 주에 통과가 없는 1,687명에게서 나온다(−0.0346 [−0.0464, −0.0225]). 이들은 점별 MLP에서는 미통과 행으로 학습되지만 쌍별 모델에서는 쌍이 없어 콘텐츠 대체 점수를 받는다. BPR MF는 표본 MF보다 v1·v2 모두 유의하게 개선되었다. 셋째, 다음 주 통과를 직접 레이블로 쓴 목표 정렬 MLP는 전체로는 v1에서 유의하게 개선되었고 v2에서 유의하게 나빠졌다. 공통 학습 사용자로 좁히면 v1에서 유의하게 개선되었고 v2에서 유의한 차이가 없었다. 어느 세계에서도 신경망 최고치(v1 0.1064, v2 0.0858)는 규칙(v1 0.1712, v2 0.1338)에 미치지 못했다.</w:t>
      </w:r>
    </w:p>
    <w:p>
      <w:pPr>
        <w:spacing w:after="120" w:line="312" w:lineRule="auto"/>
        <w:jc w:val="both"/>
      </w:pPr>
      <w:r>
        <w:rPr>
          <w:rFonts w:ascii="맑은 고딕" w:cs="맑은 고딕" w:eastAsia="맑은 고딕" w:hAnsi="맑은 고딕"/>
          <w:sz w:val="21"/>
          <w:szCs w:val="21"/>
        </w:rPr>
        <w:t xml:space="preserve">해석. 노트북의 MLP는 미관측 단원을 0으로 본 것이 아니라 아예 학습하지 않았다. 학습 행은 관측된 시도 83,652건(통과 22.1%)이고, 마지막 학습 손실 0.424는 통과율만 맞히는 상수 예측의 손실 0.528보다 낮아 0으로 붕괴하지도 않았다. 대신 ‘시도한 단원 중 무엇을 통과할까’만 배우고 ‘무엇을 시도할까’는 배우지 못했는데, 다음 주 통과 단원 예측에는 이 부분이 필요하다. 미관측 음성 BPR은 바로 이 공백을 메우므로 v1에서 효과가 컸다. v2에서는 같은 학습 범위에서 유의한 차이가 없었다. 관심 주제·수준·목적·로드맵 규칙 신호가 같은 정보를 이미 담고 있어 더 얻을 것이 적었을 가능성이 있다(가설, 검증은 11월). 또 쌍별 모델은 학습 주에 통과가 없는 사용자를 학습하지 못하므로, 실제로 쓰려면 이런 사용자에게 점별 모델 점수를 섞는 처리가 필요하다(전체 결과가 이 처리에 좌우된다). 정리하면 1차본의 ‘모델 결함이 아니라 목표 불일치’라는 문장은 실험 없이 쓴 단정이었다. 실험이 보여 준 것은 음성을 무엇으로 두느냐가 중요하고, 그 효과는 데이터 세계와 학습 범위에 따라 다르다는 점이다. 그래서 이 문장을 정정한다. (2차본 최종 검토에서 쌍별 MLP 2종이 쌍이 없는 사용자를 학습된 사용자로 표시해 대체 점수 대신 학습되지 않은 임베딩으로 점수를 매기던 결함을 찾아 고쳤고, 이 절의 수치는 고친 뒤의 값이다.)</w:t>
      </w:r>
    </w:p>
    <w:p>
      <w:pPr>
        <w:keepNext/>
        <w:spacing w:after="60" w:before="160"/>
      </w:pPr>
      <w:r>
        <w:rPr>
          <w:rFonts w:ascii="맑은 고딕" w:cs="맑은 고딕" w:eastAsia="맑은 고딕" w:hAnsi="맑은 고딕"/>
          <w:b/>
          <w:bCs/>
          <w:color w:val="1F6F55"/>
          <w:sz w:val="19"/>
          <w:szCs w:val="19"/>
        </w:rPr>
        <w:t xml:space="preserve">표 20.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0.941</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0.939</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0.916</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591</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0.928</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0.1409</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0.923</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0.925</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518</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0.920</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0.1389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0.927</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71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세 라우터 모두 λ=0부터 3000까지는 λ가 커질수록(세그먼트별 선택을 전역 1위 쪽으로 수축할수록) 검증 교차 성능이 좋아졌고, 그 뒤는 라우터마다 다르다. 성별 포함 라우터는 λ=3000(0.14082)과 ∞(0.14081)가 거의 같아 3000이, 성별·소득 제외 라우터는 ∞에서 떨어져(0.1329 → 0.1313) 3000이 선택되었다. 운영 라우터(성별 제외)는 λ=3000(0.1406)과 λ=∞(0.1408)가 반복 간 표준편차(약 0.002) 안에서 사실상 같았고 ∞가 근소하게 높아 선택되었다. 그 결과 잎 288개가 모두 전역 1위 설정을 쓴다(잎 챔피언 1종). 1차본(λ=3000)과 결론은 같다. 세그먼트별로 다른 설정을 고를 만큼의 신호가 이 데이터에는 없다는 뜻이며, 실제 로그에서 λ가 작게 선택되는지가 세그먼트 개인화의 가치를 판단하는 기준이 된다. 성별을 포함한 라우터는 λ=3000을 골라 잎 챔피언이 8종이었지만 테스트에서 전역 1위와 유의한 차이가 없었다(−0.0009 [−0.0027, +0.0010]). 성별을 써서 얻는 이득이 확인되지 않으므로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429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NDCG@5(위: 전체 기준, 아래: 활성 기준; 아래 막대 안 숫자는 집단의 활성 비율)</w:t>
      </w:r>
    </w:p>
    <w:p>
      <w:pPr>
        <w:spacing w:after="120" w:line="312" w:lineRule="auto"/>
        <w:jc w:val="both"/>
      </w:pPr>
      <w:r>
        <w:rPr>
          <w:rFonts w:ascii="맑은 고딕" w:cs="맑은 고딕" w:eastAsia="맑은 고딕" w:hAnsi="맑은 고딕"/>
          <w:sz w:val="21"/>
          <w:szCs w:val="21"/>
        </w:rPr>
        <w:t xml:space="preserve">투자 목적별 정확도는 전체 기준 0.112~0.145, 활성 기준 0.210~0.262다. 전체 기준에서 배당·인컴 수취 집단이 가장 낮고 장기 자산형성(지수 투자) 집단이 가장 높으며(활성 기준 1위는 단기 매매·전술적 투자로, 학습활동처럼 기준에 따라 1위가 바뀐다), 두 집단의 95% 구간은 전체 기준에서 겹치지 않는다(0.100~0.124 vs 0.131~0.159). 원인(목적별 핵심 단원의 난이도와 선호 분포)은 집단 진단 과제로 남긴다. 연령대별로는 40대 0.115(가장 낮음)부터 29세 이하 0.173(가장 높음)까지이고, 두 집단의 구간은 겹치지 않는다(0.104~0.127 vs 0.157~0.187). 60세 이상(359명)은 표본이 가장 작아 구간 폭이 0.049로 가장 넓다. 학습활동 집단은 두 기준에서 결론이 달라진다(아래 표).</w:t>
      </w:r>
    </w:p>
    <w:p>
      <w:pPr>
        <w:keepNext/>
        <w:spacing w:after="60" w:before="160"/>
      </w:pPr>
      <w:r>
        <w:rPr>
          <w:rFonts w:ascii="맑은 고딕" w:cs="맑은 고딕" w:eastAsia="맑은 고딕" w:hAnsi="맑은 고딕"/>
          <w:b/>
          <w:bCs/>
          <w:color w:val="1F6F55"/>
          <w:sz w:val="19"/>
          <w:szCs w:val="19"/>
        </w:rPr>
        <w:t xml:space="preserve">표 21. 학습활동 집단별 NDCG@5: 정답 없는 사용자 처리 방식에 따라 가장 높은 집단이 바뀐다(운영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22"/>
        <w:gridCol w:w="1214"/>
        <w:gridCol w:w="1214"/>
        <w:gridCol w:w="2581"/>
        <w:gridCol w:w="2581"/>
      </w:tblGrid>
      <w:tr>
        <w:trPr>
          <w:tblHeader/>
        </w:trPr>
        <w:tc>
          <w:tcPr>
            <w:tcW w:type="dxa" w:w="182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 [95% 구간]</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 [95% 구간]</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 [0.119,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 [0.285, 0.357]</w:t>
            </w:r>
          </w:p>
        </w:tc>
      </w:tr>
      <w:tr>
        <w:tc>
          <w:tcPr>
            <w:tcW w:type="dxa" w:w="182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 [0.120, 0.138]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 [0.240, 0.271]</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 [0.132,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 [0.200, 0.231]</w:t>
            </w:r>
          </w:p>
        </w:tc>
      </w:tr>
    </w:tbl>
    <w:p>
      <w:pPr>
        <w:spacing w:after="100"/>
      </w:pPr>
    </w:p>
    <w:p>
      <w:pPr>
        <w:spacing w:after="120" w:line="312" w:lineRule="auto"/>
        <w:jc w:val="both"/>
      </w:pPr>
      <w:r>
        <w:rPr>
          <w:rFonts w:ascii="맑은 고딕" w:cs="맑은 고딕" w:eastAsia="맑은 고딕" w:hAnsi="맑은 고딕"/>
          <w:sz w:val="21"/>
          <w:szCs w:val="21"/>
        </w:rPr>
        <w:t xml:space="preserve">1차본은 ‘학습활동이 많은 집단이 가장 높은 것은 기록이 많을수록 개인화가 잘 되는 자연스러운 결과’라고 해석했다. 전체 기준에서는 많음(10+) 집단이 가장 높지만, 활성 기준에서는 신규(조회 0) 집단이 가장 높다. 전체 기준에서 많음(10+) 집단이 가장 높은 것은 활동이 많을수록 다음 주 정답이 있는 사용자의 비율(활성 비율)이 높아서(43% → 50% → 66%)이고, 정답이 있는 사용자만 보면 활동이 적은 집단일수록 높다. 기록이 많은 학습자는 쉬운 단원을 이미 통과해 남은 후보가 어렵고 정답 단원도 여러 개라 순위 문제가 더 어렵기 때문으로 보인다(가설). 1차본의 해석은 정답 없는 사용자를 0점으로 넣는 방식이 만든 착시였으므로 정정한다. 2차본부터 집단별 표(group_results.csv)는 두 기준과 활성 비율을 함께 기록한다.</w:t>
      </w:r>
    </w:p>
    <w:p>
      <w:pPr>
        <w:spacing w:after="120" w:line="312" w:lineRule="auto"/>
        <w:jc w:val="both"/>
      </w:pPr>
      <w:r>
        <w:rPr>
          <w:rFonts w:ascii="맑은 고딕" w:cs="맑은 고딕" w:eastAsia="맑은 고딕" w:hAnsi="맑은 고딕"/>
          <w:sz w:val="21"/>
          <w:szCs w:val="21"/>
        </w:rPr>
        <w:t xml:space="preserve">아래 표는 Top-5 중 심화·레버리지 콘텐츠의 비율로, 특정 집단에 고위험 콘텐츠가 더 많이 노출되는지 보는 진단이다. 같은 변수 안의 격차는 소득분위 0.132, 연령대 0.034, 성별 0.025이다. 가장 큰 격차는 소득분위(소득 1분위 0.089 → 5분위 0.220)에서 나온다. 이는 7.5절의 기준(5%p 이내)을 넘는다. 운영 설정의 세그먼트 기준값(연령대+소득분위)이 소득 집단별 인기 단원을 반영하는 영향으로 보이며(가설), 1차본의 ‘격차 약 4%p로 충족’은 2차본 세계에서 더 이상 성립하지 않는다. 원인 분석과 집단별 심화 노출 상한을 11월 4주 과제로 넣었다.</w:t>
      </w:r>
    </w:p>
    <w:p>
      <w:pPr>
        <w:keepNext/>
        <w:spacing w:after="60" w:before="160"/>
      </w:pPr>
      <w:r>
        <w:rPr>
          <w:rFonts w:ascii="맑은 고딕" w:cs="맑은 고딕" w:eastAsia="맑은 고딕" w:hAnsi="맑은 고딕"/>
          <w:b/>
          <w:bCs/>
          <w:color w:val="1F6F55"/>
          <w:sz w:val="19"/>
          <w:szCs w:val="19"/>
        </w:rPr>
        <w:t xml:space="preserve">표 22.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3,317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3,227</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1,238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1,950</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0.107</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1,926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1,071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359</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0.141</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1,343</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0.089</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1,336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1,299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1,305</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0.220</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67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53%가 선수 단원을 통과하지 않은 단원이었다. 선수 가드레일을 켜면 위반이 0이 되지만 NDCG@5는 0.1075로 0.026 낮아진다. 원인은 두 가지다. 첫째, 선수 관계가 없는 단원이 4개뿐이어서 통과 기록이 적은 학습자는 가드레일을 통과한 후보가 5개 미만이 된다(후보 5개 미만 51.3%, 실제 추천 목록 5개 미만 52.0%; 차이는 ‘한 단계 위 단원 최대 1개’ 상한 때문이다). 둘째, 모의 세계의 학습자는 선수 여부와 무관하게 단원을 고르고(선수 미이수는 고른 뒤의 완료·통과 확률만 낮춘다), 선수 단원을 건너뛰고도 상당수 통과하므로(페널티 0.8) 정답 단원이 가드레일에 걸러진다. 즉 이 비용은 ‘선수 관계가 실제로 얼마나 학습 성과를 지배하는가’에 달려 있다.</w:t>
      </w:r>
    </w:p>
    <w:p>
      <w:pPr>
        <w:spacing w:after="120" w:line="312" w:lineRule="auto"/>
        <w:jc w:val="both"/>
      </w:pPr>
      <w:r>
        <w:rPr>
          <w:rFonts w:ascii="맑은 고딕" w:cs="맑은 고딕" w:eastAsia="맑은 고딕" w:hAnsi="맑은 고딕"/>
          <w:sz w:val="21"/>
          <w:szCs w:val="21"/>
        </w:rPr>
        <w:t xml:space="preserve">가드레일을 켜면 Diversity@5도 0.940 → 0.998로 오른다. 이 상승은 목록이 짧아져서가 아니다. 꽉 찬 5개 목록만 봐도 0.940 → 0.997이고, 같은 주제 쌍이 있는 목록의 비율도 46.2% → 3.4%로 줄었다(짧은 목록까지 합한 전체로는 46.2% → 1.7%). 같은 주제 안에서는 수준 n−1이 항상 선수 단원이고 통과한 단원은 후보에서 빠지므로, 가드레일 아래에서는 주제마다 후보가 사실상 하나만 남는다(중간 점검 비판의 설명과 같다). 다만 Diversity@5는 모든 방법에서 0.88~1.00으로 높아 방법 간 변별력이 크지 않고, 주제 중복만 재며 수준 다양성은 재지 않는다는 한계가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23. 선수 페널티 민감도(학습자 3,000명, 테스트 사용자 1,284명, 전체 기준 NDCG)</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퀴즈 통과(4주 합)</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4,786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0.1015</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0.524</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콘텐츠+투자 목적 일치+로드맵 단계 우선순위](base=연령대+소득분위)</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2,312</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0.1295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0.698</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주제+투자 목적 일치+로드맵 단계 우선순위] (α_u, λ=30)</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4.0</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0.1474</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0.247</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0.1503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0.756</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우선순위](base=전체)</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4.0으로 키운 세계(선수 단원을 모르면 통과가 훨씬 어려운 세계)에서는 가드레일을 켠 쪽의 NDCG 점 추정치가 더 높다(0.1503 vs 0.1474, 차이의 95% 구간 [−0.0010, +0.0071]). 다만 구간이 0을 포함하므로(학습자 3,000명 세계 하나, 부트스트랩 100회) 역전을 확인한 것은 아니고, 비용이 사라지는 방향을 보인 것이다. 페널티가 클수록 라우터의 선수 미이수 비율은 줄고(0.54 → 0.31 → 0.25) 가드레일의 짧은 목록 비율은 늘어난다(0.52 → 0.70 → 0.76).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같은 seed로 다시 학습하면 같은 결과를 내므로(결과 파일 비교로 확인, 모델 상태 해시는 학습 감사에 기록),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신경망의 낮은 성능은 손실 함수·음성 정의와 학습 범위에 따라 달라진다. 미관측 음성 BPR을 쓰면 노트북 세계에서는 MLP가 유의하게 개선되었고(+0.0531 [+0.0469, +0.0590]), v2에서는 전체로는 유의하게 나빠졌지만(−0.0081 [−0.0123, −0.0037]) 모든 신경망이 학습한 사용자로 좁히면 유의한 차이가 없었다(+0.0014 [−0.0038, +0.0058]). v2 전체의 차이는 쌍별 모델이 학습하지 못하는 사용자(학습 주에 통과 없음)의 대체 점수에서 나온다. 1차본의 ‘모델 결함이 아니라 목표 불일치’라는 단정은 정정했고, v2의 공통 학습 사용자에서 차이가 없었던 원인(규칙 신호와의 정보 중복 가설)과 목적·로드맵 특징을 입력으로 넣은 모델, 쌍이 없는 사용자에게 점별 점수를 섞는 처리는 11월에 비교한다. 새 변형은 하이브리드의 구성 신호로는 넣지 않았고, 단독 설정으로 전역·라우터 선택의 후보였지만 선택되지 않았으며, MLP 학습의 검증 손실은 기록하지 않아 과적합 여부는 산출물로 판단할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정답 없는 사용자를 0점으로 넣는 전체 기준은 방법 간 순위에는 영향이 없지만, 활성 비율이 다른 집단의 비교에서는 결론을 바꿀 수 있다(6.5절). 집단 진단은 두 기준을 함께 보고 판단한다.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실서비스 전 필요 조건: 실제 로그로 같은 절차의 재평가, 세제·규제 문구와 학습 요점의 법령·공지 원문 대조와 전문가 검수, 개인정보 처리의 법률 검토(가명처리·결합·반출 절차), KRX·공공데이터 이용 조건의 상용 범위 확인. 이 보고서의 결과는 그 전 단계의 프로토타입 검증이다.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24.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전체 (주 지표, 노트북 규칙)</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정답 없는 사용자 = 0 포함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정확도(노트북과 비교)</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0.1338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활성 (정답 있는 사용자)</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 안의 정답이 1개 이상인 사용자(3,542명)만 평균. 전체 기준과의 비(1.848)는 모든 방법에서 같음</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정확도(다른 연구와 비교)</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0.2471</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0.940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0.535 (가드레일 시 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목록이 k개 미만인 사용자 비율, 추천된 단원의 카탈로그 커버리지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구간(전체·활성 기준, 활성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6,544명 전원 불변(번들 v2, 서비스 기본 가드레일)</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25.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노출 후 7일 안에 퀴즈를 1개 이상 통과한 사용자의 비율(사용자별 이진 결과로 정의해 두 비율 Z-검정의 전제를 맞춘다). 보조: 통과 단원 수,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통과율 22% → 24%(+2%p), 유의수준 5% 양측, 검정력 80%면 군당 6,950명(아래 표). MDE를 3%p로 올리면 군당 3,135명으로 줄지만, 참 효과가 2%p라면 검정력이 47%로 떨어진다는 대가가 있다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검정 방향(2차본 정정)</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비교는 양측 우월성 검정이다. 단측 우월성 검정(군당 5,474명)은 ‘B가 A보다 낫다’만 검정하므로 데이터를 보기 전에 사전 등록해야 하고, 악화 방향은 중단 규칙으로만 감시한다. ‘B가 A보다 나쁘지 않다’를 보이려면 비열등성 검정과 사전에 정한 마진 δ가 필요하다(참 차이 0 가정, 단측 5%: δ=1%p면 군당 21,219명, δ=2%p면 5,305명). ‘단측 검정 = 나빠지지 않음 확인’은 두 개념을 섞은 표현이라 쓰지 않는다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배정 방식(2차본)</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고정 순서 검정: 1단계 A vs B를 α=5%로 검정해 귀무가설을 기각했을 때만 2단계 B vs C로 넘어간다(두 검정 전체의 1종 오류를 5%로 통제). 2단계는 시기 교란을 피하려고 B·C에 신규 사용자를 새로 배정한다. 두 질문을 모두 답하는 총 유입은 군당 표본의 4배(27,800명)로 3군 동시 운영(보정 없이 20,850명, 비교 2개 보정 시 25,248명)보다 많다. 대신 주 질문을 절반의 유입(13,900명)으로 먼저 답하고, 1단계에서 효과가 없으면 2단계를 생략한다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1단계 대비를 고른 근거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오프라인 테스트 NDCG@5는 C 0.1338 &gt; A 0.1166 &gt; B 0.1075 순서다(A = 성별을 쓰지 않는 세그먼트 인기 설정 중 검증 1위, 6.3절 결과 표의 ‘세그먼트 인기(A/B 대조군 A)’ 행). B는 A보다 유의하게 낮고(B − A −0.0091 [−0.0135, −0.0054]), C는 A보다 유의하게 높다(C − A +0.0172 [+0.0128, +0.0213]). 오프라인 정답은 선수와 무관하게 단원을 고른 학습자의 실제 통과라서 선수 미이수 단원을 빼는 B가 불리하고, 이 비용의 크기는 선수 효과의 세기에 달려 있다(6.6절 민감도 실험). 그래도 B를 먼저 보는 이유는 B가 교육 순서를 지키는 실제 서비스 설정이고, 선수를 마친 단원을 추천받은 학습자의 통과율이 오르는지는 기록 재생으로 잴 수 없는 질문이기 때문이다. 오프라인 근거가 B에 불리하므로 주 비교는 양측 검정으로 두고(B가 낫다는 단측 가설은 사전 등록하지 않는다), 1단계에서 효과가 없거나 B가 낮으면 C를 별도 실험으로 시험한다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기간·유입</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테스트 기간 상한은 단계별 8주. 주 지표가 노출 후 7일 결과라 등록은 앞의 49일 안에 끝나야 하므로, 8주 안에 1단계를 끝내려면 하루 진단 완료 신규 학습자가 MDE 2%p 기준 약 284명, 3%p 기준 약 128명 필요하다. 시작 전 2주의 실제 유입으로 MDE를 사전 등록하고, 상한에 도달하면 결과를 ‘판정 보류’로 보고한다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외생 변수</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동시 무작위 배정이므로 시장 충격은 두 군에 같이 작용해 효과 추정을 편향시키지 않는다. 실제 문제는 분산 증가, 처치×시기 상호작용, 외적 타당성이므로 가입 주차 코호트로 층화 배정하고 분석에 블록으로 넣으며, 사전 등록한 시장 급변 주간은 민감도 분석에서 따로 본다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분석</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사전 등록한 지표와 분석 계획, 사용자 단위 비율 검정과 부트스트랩, 세그먼트별 이질 효과는 탐색적으로만 보고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중단 규칙</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처치군의 이탈률이 대조군보다 유의하게 높거나 가드레일 지표 위반 시 중단</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26. 통과율 22% 기준 표본 크기(두 비율 Z-검정, 검정력 80%, 연속성 보정 없음, 비교 2개 보정은 비교마다 α=2.5%)</w:t>
      </w:r>
    </w:p>
    <w:tbl>
      <w:tblPr>
        <w:tblW w:type="dxa" w:w="9412"/>
        <w:tblBorders>
          <w:top w:val="single" w:color="BBBBBB" w:sz="6"/>
          <w:left w:val="none" w:sz="0"/>
          <w:bottom w:val="single" w:color="BBBBBB" w:sz="6"/>
          <w:right w:val="none" w:sz="0"/>
          <w:insideH w:val="single" w:color="DDDDDD" w:sz="4"/>
          <w:insideV w:val="none" w:sz="0"/>
        </w:tblBorders>
      </w:tblPr>
      <w:tblGrid>
        <w:gridCol w:w="2279"/>
        <w:gridCol w:w="1324"/>
        <w:gridCol w:w="1324"/>
        <w:gridCol w:w="1691"/>
        <w:gridCol w:w="1397"/>
        <w:gridCol w:w="1397"/>
      </w:tblGrid>
      <w:tr>
        <w:trPr>
          <w:tblHeader/>
        </w:trPr>
        <w:tc>
          <w:tcPr>
            <w:tcW w:type="dxa" w:w="227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최소 검출 효과(MDE)</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 군당</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단측, 군당</w:t>
            </w:r>
          </w:p>
        </w:tc>
        <w:tc>
          <w:tcPr>
            <w:tcW w:type="dxa" w:w="169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양측·비교 2개 보정, 군당</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두 군 합계(양측)</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 군 합계(보정)</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2%p (22% → 24%)</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6,950</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5,474</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8,416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13,900</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25,248</w:t>
            </w:r>
          </w:p>
        </w:tc>
      </w:tr>
      <w:tr>
        <w:tc>
          <w:tcPr>
            <w:tcW w:type="dxa" w:w="227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3%p (22% → 25%)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3,135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2,469</w:t>
            </w:r>
          </w:p>
        </w:tc>
        <w:tc>
          <w:tcPr>
            <w:tcW w:type="dxa" w:w="169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3,796</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6,270</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11,388</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4%p (22% → 26%)</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1,789</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1,409</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2,166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3,578</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6,498</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27.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라우터의 테스트 NDCG@5가 인기·무작위보다 유의하게 높음(사용자 단위 쌍 부트스트랩 95% 구간이 0을 포함하지 않음). 서비스 기본(선수 가드레일 켬): 충족(인기 대비 +0.0038 [+0.0006, +0.0072], 무작위 대비 +0.0669 [+0.0605, +0.0737] — 인기 대비 여유가 작음). 가드레일 끔: 충족(인기 대비 +0.0301 [+0.0251, +0.0343], 무작위 대비 +0.0932 [+0.0868, +0.0994])</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52.0%로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100%(현재 번들 v2 테스트 사용자 6,544명 전원 불변). 집단별 NDCG 격차는 전체·활성 두 기준으로 보고하고 활성 기준에서도 남는 격차는 원인을 분석한다(현재 학습활동 집단은 활성 기준 0.318 vs 0.215로 분석 과제). 같은 변수 안의 심화 노출 비율 격차 5%p 이내 — 현재 미충족(최대 소득분위 0.132, 6.5절)</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다시 학습하면 결과 파일(테스트·검증·집단별 결과, 시간 열 제외)과 모델 상태 해시가 같음, 노트북 v1 재현 5자리 일치 — 현재 충족(v1·v2 각각 다시 학습해 비교)</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추천을 담은 모든 응답과 화면에 고지문 — 현재 충족(로컬 측정 중앙값: 기존 학습자 약 11ms, 새 학습자 약 22ms, 최대 40ms)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28.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정보데이터시스템에서 ETF 전종목 기본정보 파일 수동 내려받기 → sources sync --krx-csv, KRX Open API 인증키·공공데이터포털 키 발급 후 엔드포인트 경로·필드명을 실제 응답으로 확인하고 시세 수집,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확장(진단 단원 18개 × 단원당 2문항)과 전문가 검수, 세제·규제 문구와 학습 요점의 법령·공지 원문 대조(기본예탁금·ISA·IRP·과표기준가·연금소득세), 나머지 단원의 학습 요점 작성</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36개, 세제·규제 확인표, 학습 요점 확대</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가명처리 도구 사용), 선수 페널티 보정 실험, 공통 학습 사용자에서 미관측 음성 쌍별 MLP가 MLP와 차이가 없었던 원인 분석, 쌍이 없는 사용자에게 점별 점수를 섞는 처리와 목적·로드맵 특징을 넣은 신경망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 집단 진단 과제(소득분위별 심화 노출 격차, 투자 목적별 정확도 차이, 학습활동 집단의 활성 기준 차이) 원인 분석과 노출 상한 정책</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 집단 진단 보고</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29.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공식 API 경로·필드·이용 조건 차이(KRX Open API, 공공데이터포털)</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수집 실패, 이용 조건 위반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키 발급 후 활용 가이드와 실제 응답으로 경로·필드 확인, 실행당 호출 상한, 실패·빈 결과를 상태로 기록하고 이전 스냅샷·샘플을 신선도 표시와 함께 사용, 비상업 범위 유지(상용 전환 시 별도 이용 계약)</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개인정보(실제 로그 연결 시)</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재식별, 규제 위반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가명처리 도구(매핑표 분리), 번들·API에 원시 연령·소득·분 단위 시각과 스키마 밖 열 미보관, 공개 산출물 k≥5와 보완 억제, 반출 표 행 순서 제거, 학습자 조회 API는 로컬에서만, 외부 공유는 비식별 내보내기만, 권한 분리·반출 심사·서빙 API 접근 통제 같은 조직 통제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점검(인구통계 열 섞기: 거짓 이점 없음 확인, 4.4절), 파일럿 로그로 선수 페널티·CF 비중 보정</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일반 과정 약 1시간; 단일종목 레버리지·인버스는 2026년 8월 기준 총 3시간과 한국거래소 모의거래 5시간),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Rendle, S. 외 (2009). BPR: Bayesian Personalized Ranking from Implicit Feedback. UAI. / Ziegler, C.-N. 외 (2005). Improving recommendation lists through topic diversification. WWW.</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scikit-learn sklearn.metrics.ndcg_score 문서(정답 관련도가 모두 0인 질의는 0점으로 평균에 포함) / TorchMetrics RetrievalNormalizedDCG 문서(empty_target_action 기본값 'neg' = 정답 없는 질의를 0점 처리).</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Chow, S.-C., Shao, J., Wang, H. (2008). Sample Size Calculations in Clinical Research, 2판 — 두 비율 비교의 우월성·비열등성 표본 크기 공식.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2025년 말 국내 상장 ETF 1,058종목, 순자산총액 297조 2천억 원(전년 대비 71% 증가); 2025년 7월 1,000종목 돌파. 출처: https://www.sidae.com/article/2025123016143338248 ; https://www.heraldk.com/article/2025072215004989760</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 출처: 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 레버리지 ETP 사전교육(일반 과정) 약 1시간·4,000원, 수료 후 증권사에 이수번호 등록. 단일종목 레버리지·인버스 심화교육은 2026년 5월 22일 1시간으로 시작해 8월 기준 2시간(총 3시간). 출처: https://www.kifin.or.kr ; https://www.kbsec.com/go.able?linkcd=s060901010000&amp;seq=10009835&amp;idt=20260512 ; https://www.hankyung.com/article/202608127524i</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 출처: https://korea-rich.kr/isa-%EA%B3%84%EC%A2%8C-%EB%B9%84%EA%B3%BC%EC%84%B8-%ED%95%9C%EB%8F%84-%EC%96%BC%EB%A7%88-200%EB%A7%8C%EC%9B%90%C2%B7400%EB%A7%8C%EC%9B%90-%EC%A1%B0%EA%B1%B4-2026-%EC%B4%9D%EC%A0%95%EB%A6%AC/ ; https://www.financecoffeechat.com/tax/isa-guide ; https://bileotools.com/blog/isa-account-2026-guide</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 출처: 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 출처: https://kbam.co.kr/insights/guide/etf-tax-guide-domestic-vs-other-types ; https://www.samsungfund.com/etf/insight/guide/view05.do ; https://www.ajunews.com/view/20231109161338226 ; https://v.daum.net/v/20251219152204458</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 출처: https://www.newsis.com/view/NISX20260309_0003540588 ; https://shinkim.com/kor/media/newsletter/3167 ; https://www.shinkim.com/kor/media/newsletter/pdf/3319 ; https://newsseoul.co.kr/news/view/1065587420951193 ; https://m.boannews.com/html/detail.html?idx=121977</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 출처: https://openapi.krx.co.kr/contents/OPP/INFO/OPPINFO002.jsp ; https://github.com/skkimjj/krx-openapi-examples ; https://i-whale.com/entry/KRX-%EC%8B%9C%EC%84%B8-%EB%8D%B0%EC%9D%B4%ED%84%B0-%EC%9D%B4%EC%A0%9C-%EB%A1%9C%EA%B7%B8%EC%9D%B8-API%EB%A5%BC-%EC%8B%A0%EC%B2%AD-%ED%95%B4%EC%95%BC-%EC%93%B8-%EC%88%98-%EC%9E%88%EB%84%A4%EC%9A%94-%E3%85%9C</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30.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요청에서 생략할 때의 가드레일(선수 차단 켬)과 오프라인 평가 가드레일(선수 차단 끔), 학습자 조회 켜짐 여부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learner{age, goal, horizon, risk, interests, placement, diagnosis, events…}, k, algorithm, guardrail{block_gap, plus_one_max, exclude_passed, prereq_block}(생략하면 화면 기본: 선수 단원 차단 켬), topic_cap, overrides, assume_passed(카탈로그 범위 안 단원 번호)</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또는 goal·risk,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methods, guardrail(생략 시 화면 기본)</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31. 진단 퀴즈 20문항(18개 단원, 정답 위치 균형)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거래소에 상장되어 주식처럼 장중에 사고판다 / 은행 예금처럼 원금이 보장된다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분배금에서만 떼는 세금 / 팔 때만 내는 비용 / ★ 매일 순자산에서 조금씩 차감되어 1년에 약 0.5%가 빠진다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분배금이 3% 나온다 / ★ 시장가격이 NAV보다 3% 높아 비싸게 사는 셈이다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환헤지형: 환율 변동의 영향을 줄인 상품 / 고배당(High dividend)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총보수에서 돌려준다 / 거래소가 지급한다 / ★ 보유 주식의 배당·채권 이자 등을 모아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분배금 지급 지연 / 거래량 부족 / ★ ETF 수익률이 기초지수 수익률과 얼마나 다르게 움직였는지의 변동성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사고팔 때 숨은 비용이 커진다 / 총보수가 올라간다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지수의 2배를 따른다 / 채권에만 투자한다 / 분배금이 없다 / ★ 콜옵션을 팔아 받은 프리미엄을 분배금으로 주고, 그 대신 상승이 제한된다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배당소득세 15.4%(보유기간 과세) / 비과세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과세된다(실제 차익과 과표기준가 상승분 중 작은 금액 기준). 해외 거래소에 직접 상장된 ETF는 양도소득세 22%(연 250만원 기본공제, 같은 해 해외주식 손익 통산, 분리과세)다.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같은 업종 주식끼리 / ★ 서로 다르게 움직이는(상관관계가 낮은) 자산끼리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절세 계좌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ISA(개인종합자산관리계좌)의 세제 혜택으로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순이익 200만원(서민형 400만원)까지 비과세, 초과분은 9.9% 분리과세 / 모든 수익이 전액 비과세다 / 매매차익에 22% 양도소득세가 붙는다 / 분배금만 비과세다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ISA는 계좌 안 손익을 통산해 순이익 200만원(서민형·농어민형 400만원)까지 비과세하고, 초과분은 9.9%로 분리과세한다. 의무가입 3년, 연 2,000만원 납입.</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ETF를 팔 때 배당소득세(15.4%)가 매겨지는 금액은?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항상 실제 매매차익 전체 / 과표기준가 상승분 전체 / ★ 실제 매매차익과 과표기준가 상승분 중 작은 금액 / 분배금에만 과세된다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보유기간과세: 실제 매매차익과 보유 기간의 과표기준가 상승분 중 작은 금액에 15.4%가 붙는다. 과표기준가는 과세 대상 손익만 반영하므로, 시장가격이 괴리율 확대 등으로 더 올랐다면 과세는 과표기준가 상승분까지이고, 과표기준가가 내렸다면 이익이 있어도 세금이 없다. 반대로 계좌 밖에서는 손실을 다른 이익과 통산하지 못한다.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 계좌의 투자 한도 규칙으로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주식형 ETF를 100%까지 담을 수 있다 / 채권형 ETF만 담을 수 있다 / 해외 상장 ETF도 담을 수 있다 / ★ 위험자산은 적립금의 70%까지, 30% 이상은 예금·안전자산이어야 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IRP(퇴직연금)는 위험자산 총투자한도 70% 규제가 있고, 연금저축펀드에는 이 한도가 없다. 두 계좌 모두 해외 상장 ETF는 불가.</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3 (수준 판정용, 통과 처리 안 함)</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개인투자자가 레버리지·인버스 ETP를 처음 매수하려면?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아무 조건 없이 바로 살 수 있다 / ★ 사전교육 이수·증권사 등록과 기본예탁금(일반 1,000만원, 단일종목형은 현금 3,000만원)이 필요하다 / 연금계좌를 먼저 개설해야 한다 / 총보수만 확인하면 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사전교육(약 1시간)과 기본예탁금 1,000만원이 모두 필요하다. 단일종목 레버리지·인버스는 2026년 7월 31일부터 현금 3,000만원(추가 매수 포함, 대용증권 불인정)이 필요하고, 8월 19일부터는 사전교육이 총 3시간(기본 1 + 심화 2)으로 늘고 신규 투자자는 모의거래 5시간도 마쳐야 한다. 요건을 못 채우면 매수 주문이 들어가지 않는다(2026-10-13 기준). 이 문항은 규제 상식이라 수준 판정에만 쓰고 단원을 통과 처리하지 않는다.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32.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과세(사적연금 연 1,500만원 이하 3.3~5.5%, 초과 시 종합과세 또는 16.5% 분리과세 선택), 납입액은 연금저축 600만원·IRP 합산 900만원까지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ISA(개인종합자산관리계좌)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손익을 통산해 순이익 200만원(서민형·농어민형 400만원)까지 비과세, 초과분 9.9% 분리과세. 연 2,000만원·총 1억원 납입, 의무가입 3년. 만기 60일 안에 연금계좌로 옮기면 전환금액의 10%(최대 300만원) 추가 세액공제 한도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 ETF의 배당소득세·종합과세 부담을 줄인다. 연금계좌와의 납입 순서는 소득·유동성에 따라 다르다(제도가 정한 순서는 없음)</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 보유기간과세</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해외주식형·채권·원자재 ETF의 매매차익 과세 기준(레버리지·인버스는 상품 구성에 따라 과세 여부가 달라 상품별 과세유형 확인). 실제 매매차익과 보유 기간의 과표기준가 상승분 중 작은 금액에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가격이 올라도 과표기준가가 오르지 않았으면 세금이 거의 없을 수 있다(단기 매매자에게 중요)</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위험자산 70% 한도</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퇴직연금(IRP)은 주식형 ETF 등 위험자산을 계좌 평가액의 70%까지만 담을 수 있고 30% 이상은 예금·안전자산(일부 채권혼합형·적격 TDF 예외는 금융사 확인). 연금저축펀드에는 한도 없음</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한도를 넘으면 위험자산 추가 매수가 제한되어 주식형 100% 주문이 들어가지 않는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기본예탁금(레버리지 ETP)</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ETP를 매수하려면 사전교육 이수 외에 기본예탁금 1,000만원 이상이 필요하다. 단일종목형은 2026년 7월 31일부터 현금 3,000만원(신규·추가 매수, 대용증권 불인정), 해외 상장 레버리지 ETP는 2026년 5월 22일부터 1,000만원(기존 거래자 제외)</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교육을 마쳐도 예탁금이 없으면 매수 주문이 들어가지 않는다</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걸리는 시간은 명령마다 적었다: 학습 한 번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read -rs KRX_OPEN_API_KEY &amp;&amp; export KRX_OPEN_API_KEY                # (선택) 키는 화면에 보이지 않게 입력(명령줄에 쓰면 셸 기록에 남음)</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--krx-csv 내려받은파일.csv   # 접근 점검·스냅샷</w:t>
      </w:r>
    </w:p>
    <w:p>
      <w:pPr>
        <w:shd w:fill="F1F3F0" w:color="auto" w:val="clear"/>
        <w:spacing w:after="40"/>
        <w:ind w:left="240"/>
      </w:pPr>
      <w:r>
        <w:rPr>
          <w:rFonts w:ascii="Consolas" w:cs="Consolas" w:eastAsia="Consolas" w:hAnsi="Consolas"/>
          <w:sz w:val="17"/>
          <w:szCs w:val="17"/>
        </w:rPr>
        <w:t xml:space="preserve">python -m etfrec export-deid --bundle artifacts/bundle_v2 --k 5 --out deid/learners_k5.csv   # k-익명 학습자 표 반출</w:t>
      </w:r>
    </w:p>
    <w:p>
      <w:pPr>
        <w:shd w:fill="F1F3F0" w:color="auto" w:val="clear"/>
        <w:spacing w:after="40"/>
        <w:ind w:left="240"/>
      </w:pPr>
      <w:r>
        <w:rPr>
          <w:rFonts w:ascii="Consolas" w:cs="Consolas" w:eastAsia="Consolas" w:hAnsi="Consolas"/>
          <w:sz w:val="17"/>
          <w:szCs w:val="17"/>
        </w:rPr>
        <w:t xml:space="preserve">python scripts/regression_check.py artifacts/bundle_v1     # 노트북 B(v1) 세계를 학습해 bundle_v1 저장, 기록과 5자리 일치 확인(약 2~3분)</w:t>
      </w:r>
    </w:p>
    <w:p>
      <w:pPr>
        <w:shd w:fill="F1F3F0" w:color="auto" w:val="clear"/>
        <w:spacing w:after="40"/>
        <w:ind w:left="240"/>
      </w:pPr>
      <w:r>
        <w:rPr>
          <w:rFonts w:ascii="Consolas" w:cs="Consolas" w:eastAsia="Consolas" w:hAnsi="Consolas"/>
          <w:sz w:val="17"/>
          <w:szCs w:val="17"/>
        </w:rPr>
        <w:t xml:space="preserve">python scripts/placebo_check.py docs/results/placebo_check.json   # 위약 세계(연령·소득·성별 열 섞기) 점검(약 3분)</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민감도(약 2분)</w:t>
      </w:r>
    </w:p>
    <w:p>
      <w:pPr>
        <w:shd w:fill="F1F3F0" w:color="auto" w:val="clear"/>
        <w:spacing w:after="40"/>
        <w:ind w:left="240"/>
      </w:pPr>
      <w:r>
        <w:rPr>
          <w:rFonts w:ascii="Consolas" w:cs="Consolas" w:eastAsia="Consolas" w:hAnsi="Consolas"/>
          <w:sz w:val="17"/>
          <w:szCs w:val="17"/>
        </w:rPr>
        <w:t xml:space="preserve">pytest -q                                                     # 자동화 테스트 94건 중 기본 실행 93건 (약 30초)</w:t>
      </w:r>
    </w:p>
    <w:p>
      <w:pPr>
        <w:shd w:fill="F1F3F0" w:color="auto" w:val="clear"/>
        <w:spacing w:after="40"/>
        <w:ind w:left="240"/>
      </w:pPr>
      <w:r>
        <w:rPr>
          <w:rFonts w:ascii="Consolas" w:cs="Consolas" w:eastAsia="Consolas" w:hAnsi="Consolas"/>
          <w:sz w:val="17"/>
          <w:szCs w:val="17"/>
        </w:rPr>
        <w:t xml:space="preserve">ETFREC_FULL=1 pytest -q -k test_full_regression_matches_notebook   # 나머지 1건: 노트북 기록과 5자리 일치를 전체 학습으로 확인(약 2~3분)</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점검·캡처(서버를 먼저 띄움)</w:t>
      </w:r>
    </w:p>
    <w:p>
      <w:pPr>
        <w:shd w:fill="F1F3F0" w:color="auto" w:val="clear"/>
        <w:spacing w:after="40"/>
        <w:ind w:left="240"/>
      </w:pPr>
      <w:r>
        <w:rPr>
          <w:rFonts w:ascii="Consolas" w:cs="Consolas" w:eastAsia="Consolas" w:hAnsi="Consolas"/>
          <w:sz w:val="17"/>
          <w:szCs w:val="17"/>
        </w:rPr>
        <w:t xml:space="preserve">pip install matplotlib pillow &amp;&amp; npm i docx &amp;&amp; docs/report/build/build.sh   # 그림 → report_data.json → 두 보고서(Word). 위 두 번들이 있어야 함</w:t>
      </w:r>
    </w:p>
    <w:p>
      <w:pPr>
        <w:spacing w:after="80"/>
      </w:pPr>
    </w:p>
    <w:p>
      <w:pPr>
        <w:keepNext/>
        <w:spacing w:after="60" w:before="160"/>
      </w:pPr>
      <w:r>
        <w:rPr>
          <w:rFonts w:ascii="맑은 고딕" w:cs="맑은 고딕" w:eastAsia="맑은 고딕" w:hAnsi="맑은 고딕"/>
          <w:b/>
          <w:bCs/>
          <w:color w:val="1F6F55"/>
          <w:sz w:val="19"/>
          <w:szCs w:val="19"/>
        </w:rPr>
        <w:t xml:space="preserve">표 33. 자동화 테스트(수집 94건)</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 (3건)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 (17건)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 (16건)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채점(답한 문항만, 단원 단위, 규제 문항 진단 전용, 찍기 방지), 도메인 규칙·학습 요점·템플릿, 분류 개념 존재, KRX 열 정규화·유형 분류·샘플 유니버스·출처 등록부, BPR 모델</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tests/test_sources.py (25건)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KRX Open API 요청 헤더·주소·파싱, ISU_CD 규칙·전체 이름 대체, 호출 상한·간격, 키 없으면 요청 0건, cp949 CSV·Excel 엔진 없음 처리, 0행 → empty와 직전 평일 기준일, 공공데이터포털 페이지 넘김·코드 교차 확인, kept·fail 시 이전 기록 유지·30일 경고, 시세 결합 통계, HEAD 1회·User-Agent, 쓰기 실패 시 기존 스냅샷 유지·중단 시 파일과 기록 일치·해시 불일치 표시, 형식 검사(다른 화면의 파일·바뀐 필드 이름), 인증키 정리·가림, 일부만 받음 표시 승계, 응답 봉투·짧은 쪽·중간 오류, 날짜 검사, 폴더 규칙, 엔드포인트 환경변수, 패키지 데이터</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tests/test_privacy.py (21건)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번들에 원시 연령·연소득·일·분 없음, 학습자 목록·상세의 구간 표시, 경로 출력의 작은 노드 숨김, 가명처리 결정성·키 요구·매핑표 분리(CLI 포함, 심볼릭 링크 경로 거부), k-익명화(일반화 → 억제), 누락 열·불가능 계획 보고, 라우터 잎 감사, 개인정보 QA의 실효성, 설계 저장 시 원값 제거(이름·목록 문장·이벤트 시각·여러 표기), export-deid CLI·행 순서 제거, 스키마 밖 로그 열 차단, 임의 설정 번호 거부, 학습자 조회 끄기, 경로 출력의 크기 구간, 보완 억제</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 (12건)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연령·소득·성별·성향, 따옴표 제목 → 이력, 예시 전부 파싱, 목적·기간, 빈 문장 경고</w:t>
            </w:r>
          </w:p>
        </w:tc>
      </w:tr>
    </w:tbl>
    <w:p>
      <w:pPr>
        <w:spacing w:after="100"/>
      </w:pPr>
    </w:p>
    <w:p>
      <w:pPr>
        <w:pStyle w:val="Heading1"/>
        <w:spacing w:after="160" w:before="360"/>
      </w:pPr>
      <w:r>
        <w:rPr>
          <w:rFonts w:ascii="맑은 고딕" w:cs="맑은 고딕" w:eastAsia="맑은 고딕" w:hAnsi="맑은 고딕"/>
        </w:rPr>
        <w:t xml:space="preserve">부록 E. 중간 점검 지적 대응 요약</w:t>
      </w:r>
    </w:p>
    <w:p>
      <w:pPr>
        <w:spacing w:after="120" w:line="312" w:lineRule="auto"/>
        <w:jc w:val="both"/>
      </w:pPr>
      <w:r>
        <w:rPr>
          <w:rFonts w:ascii="맑은 고딕" w:cs="맑은 고딕" w:eastAsia="맑은 고딕" w:hAnsi="맑은 고딕"/>
          <w:sz w:val="21"/>
          <w:szCs w:val="21"/>
        </w:rPr>
        <w:t xml:space="preserve">자세한 분석(지적 원문 요지, 사실 확인 출처, 간과 이유, 보완 내용, 수치 변화)은 별도 문서 ‘중간보고서 비판 검토 및 보완 보고서’에 있다. 여기서는 판정만 요약한다.</w:t>
      </w:r>
    </w:p>
    <w:p>
      <w:pPr>
        <w:keepNext/>
        <w:spacing w:after="60" w:before="160"/>
      </w:pPr>
      <w:r>
        <w:rPr>
          <w:rFonts w:ascii="맑은 고딕" w:cs="맑은 고딕" w:eastAsia="맑은 고딕" w:hAnsi="맑은 고딕"/>
          <w:b/>
          <w:bCs/>
          <w:color w:val="1F6F55"/>
          <w:sz w:val="19"/>
          <w:szCs w:val="19"/>
        </w:rPr>
        <w:t xml:space="preserve">표 34. 지적 대응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3313"/>
        <w:gridCol w:w="2259"/>
        <w:gridCol w:w="3238"/>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지적</w:t>
            </w:r>
          </w:p>
        </w:tc>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보고서의 반영 위치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로그 이벤트 합계가 시도 수를 초과하는 ‘산술 모순’</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 설명 보완·실데이터 정규화는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4.4절 이벤트 플래그 표·합계 분해·논리 제약 QA</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사용자를 NDCG 0으로 산입</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수용(요구는 전면 반영)</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두 기준, 6.3절 활성 열, 6.5절 집단 결론 정정, QA 항등식</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 손실·BPR 부재로 딥러닝 결과 무효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대부분 수용(전제 일부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3.1절 학습 목표 표, 6.3절 신경망 변형 쌍 비교, 6.7절</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 타당</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긍정 평가(해석 보완)</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정의(2개 미만 0), 6.6절 다양성 상승의 구조적 원인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21,000명 비현실적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수용(통계 표현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7.3절 MDE·검정 방향·고정 순서 검정·유입·기간</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누락</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2.2·2.4·5.4절 유형 카드, 부록 B q20, 부록 C·F</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누락·IRP 70% 누락</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수용(수치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5.2절 로드맵 템플릿(절세 계좌 3단원), 부록 B q17·q19, 부록 C·F</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 부재</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5.4절 세금 문구, 부록 B q18, 부록 C·F(학습 요점 본문)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비공식 엔드포인트 호출(크롤링)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수용(조항 번호 미검증, 처방은 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4.2·4.3절 접근 설계, 8절 위험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가명정보 처리 미흡</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수용(법령 수치 정정)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4.5절 개인정보 점검·최소화·정책 구분, 8절 위험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서론·결론</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 배포 불가 수준의 치명적 결함’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요약, 6.7절 실서비스 전 필요 조건</w:t>
            </w:r>
          </w:p>
        </w:tc>
      </w:tr>
    </w:tbl>
    <w:p>
      <w:pPr>
        <w:spacing w:after="100"/>
      </w:pPr>
    </w:p>
    <w:p>
      <w:pPr>
        <w:pStyle w:val="Heading1"/>
        <w:spacing w:after="160" w:before="360"/>
      </w:pPr>
      <w:r>
        <w:rPr>
          <w:rFonts w:ascii="맑은 고딕" w:cs="맑은 고딕" w:eastAsia="맑은 고딕" w:hAnsi="맑은 고딕"/>
        </w:rPr>
        <w:t xml:space="preserve">부록 F. 세제·규제 단원 학습 요점</w:t>
      </w:r>
    </w:p>
    <w:p>
      <w:pPr>
        <w:spacing w:after="120" w:line="312" w:lineRule="auto"/>
        <w:jc w:val="both"/>
      </w:pPr>
      <w:r>
        <w:rPr>
          <w:rFonts w:ascii="맑은 고딕" w:cs="맑은 고딕" w:eastAsia="맑은 고딕" w:hAnsi="맑은 고딕"/>
          <w:sz w:val="21"/>
          <w:szCs w:val="21"/>
        </w:rPr>
        <w:t xml:space="preserve">중간 점검에서 빠졌다고 지적받은 세제·규제 단원에 붙인 본문 요점이다(etfrec/lessons.py, 로드맵 화면에서 펼쳐 볼 수 있음). 기준일 2026-10-13의 보도·기관 안내를 검색으로 확인한 범위이며, 법령·공지 원문 대조는 11월 2주에 한다. 특정 상품의 매수·매도 권유가 아니다.</w:t>
      </w:r>
    </w:p>
    <w:p>
      <w:pPr>
        <w:pStyle w:val="Heading3"/>
        <w:spacing w:after="80" w:before="200"/>
      </w:pPr>
      <w:r>
        <w:rPr>
          <w:rFonts w:ascii="맑은 고딕" w:cs="맑은 고딕" w:eastAsia="맑은 고딕" w:hAnsi="맑은 고딕"/>
        </w:rPr>
        <w:t xml:space="preserve">ISA 계좌란: 비과세 한도와 분리과세 (절세 계좌 · 수준 1)</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ISA(개인종합자산관리계좌)는 한 계좌 안에서 예금·펀드·국내 상장 ETF 등을 운용하고, 계좌 안의 이익과 손실을 통산한 순이익에 세금을 매긴다.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순이익 200만원(서민형·농어민형 400만원)까지 비과세, 넘는 부분은 9.9% 분리과세로 끝나 금융소득종합과세에 합산되지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ETF처럼 계좌 밖에서 매매차익에 15.4%가 붙는 상품일수록 편입 효과가 크다. 국내주식형 ETF는 매매차익이 원래 비과세라 절세 효과가 주로 분배금에서 나온다(계좌 안 손익 통산에서의 취급은 금융사·법령 원문 확인).</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계좌 안에서 해외주식형 ETF로 300만원 이익, 다른 ETF로 50만원 손실이면 순이익 250만원이다. 일반형은 200만원까지 비과세이고 50만원 × 9.9% = 4만 9,500원을 낸다. 계좌 밖이라면 손실이 상계되지 않아 이익 300만원에 15.4%가 붙는다(과표기준가 상승분이 같다고 가정).</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유형·납입 한도·의무가입 기간 (절세 계좌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일반형, 서민형, 농어민형. 서민형·농어민형은 소득 요건이 있어 비과세 한도가 400만원으로 크다(요건은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납입 한도는 연 2,000만원, 총 1억원이다.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의무가입 기간은 3년이다. 그 전에 해지하면 비과세·분리과세 혜택을 받지 못한다(부득이한 사유는 예외,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ETF를 직접 사고팔려면 중개형 ISA를 쓴다(신탁형·일임형은 운용 방식이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몇 달 안에 쓸 돈이라면 의무가입 3년과 맞지 않는다. 그래서 단기 매매 목적 템플릿에는 ISA 단원을 넣지 않았고, 다른 목적이라도 투자 기간이 1년 미만이면 로드맵이 ISA 단원에 '의무가입 3년' 주의를 붙인다.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만기 자금의 연금계좌 전환과 절세 순서 (절세 계좌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만기 후 60일 안에 ISA 자금을 연금저축·IRP로 옮기면 전환금액의 10%(최대 300만원)를 그해 연금계좌 세액공제 대상 금액에 더할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추가 한도는 연금저축 600만원·IRP 합산 900만원 세액공제 한도와 별도다.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순서는 소득과 유동성에 따라 다르다. 세액공제를 먼저 채우는 '연금저축 → IRP → ISA', 유동성을 남기는 'ISA 먼저 → 만기 때 연금 전환'이 대표적이며, 제도가 정한 순서는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연금계좌로 옮긴 돈은 연금 수령 전 인출이 어렵고, 수령 때 연금소득세(사적연금 연 1,500만원 이하 3.3~5.5%, 초과 시 종합과세 또는 16.5% 분리과세 선택)를 낸다.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ISA 만기 자금 3,000만원을 60일 안에 연금계좌로 옮기면 300만원(10%)이 추가 세액공제 대상 금액이 된다.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해외 ETF 세금: 과표기준가·보유기간과세와 양도소득세 (해외 ETF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ETF의 매매차익은 배당소득으로 15.4%가 원천징수된다. 과세 대상 금액은 '실제 매매차익'과 '보유 기간의 과표기준가 상승분' 중 작은 금액이다(보유기간과세).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과표기준가는 운용사가 매일 공시하며 ETF가 번 손익 중 과세 대상만 반영한다. 그래서 시장가격과 과표기준가가 다르게 움직일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①: 시장가격이 수급(괴리율 확대)으로 올라 차익을 냈어도 과표기준가가 덜 올랐다면 세금은 과표기준가 상승분까지만 붙는다. 과표기준가가 내렸다면 이익이 있어도 세금이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②: 손실을 봐도 계좌 밖에서는 다른 ETF의 이익과 상계되지 않는다. 연 금융소득(분배금과 과세된 매매차익)이 2,000만원을 넘으면 종합과세에 합산된다.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거래소에 직접 상장된 ETF는 양도소득세 22%(연 250만원 기본공제, 같은 해 해외주식 손익 통산, 분리과세)로 체계가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과표기준가가 10,000원 → 10,200원(+200원)일 때 시장가격 10,050원에 사서 10,400원에 팔면(+350원) 과세 대상은 작은 값 200원이고, 세금은 1좌당 약 31원(200원 × 15.4%)이다.</w:t>
      </w:r>
    </w:p>
    <w:p>
      <w:pPr>
        <w:spacing w:after="120" w:line="312" w:lineRule="auto"/>
        <w:jc w:val="both"/>
      </w:pPr>
      <w:r>
        <w:rPr>
          <w:rFonts w:ascii="맑은 고딕" w:cs="맑은 고딕" w:eastAsia="맑은 고딕" w:hAnsi="맑은 고딕"/>
          <w:color w:val="5D665D"/>
          <w:sz w:val="18"/>
          <w:szCs w:val="18"/>
        </w:rPr>
        <w:t xml:space="preserve">자료: 자산운용사 ETF 가이드북·상품 설명 자료, 전국투자자교육협의회 ETF스쿨</w:t>
      </w:r>
    </w:p>
    <w:p>
      <w:pPr>
        <w:pStyle w:val="Heading3"/>
        <w:spacing w:after="80" w:before="200"/>
      </w:pPr>
      <w:r>
        <w:rPr>
          <w:rFonts w:ascii="맑은 고딕" w:cs="맑은 고딕" w:eastAsia="맑은 고딕" w:hAnsi="맑은 고딕"/>
        </w:rPr>
        <w:t xml:space="preserve">IRP·연금저축의 ETF 투자 규칙과 위험자산 70% 한도 (연금계좌 ETF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연금저축·IRP에서는 국내 상장 ETF만 살 수 있고, 해외 거래소 상장 ETF와 레버리지·인버스 ETF는 살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IRP(퇴직연금)는 위험자산 총투자한도 70%다. 주식형 ETF 같은 위험자산은 계좌 평가액의 70%까지, 30% 이상은 예금·안전자산이어야 한다. 한도는 상품별이 아니라 계좌 전체 합계이고, 평가액 기준이라 주가가 오르면 비중이 저절로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한도를 넘으면 위험자산 추가 매수가 제한된다. 일부 채권혼합형·적격 TDF는 안전자산이나 한도 예외로 분류될 수 있으니 금융사 분류를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연금저축펀드(계좌)에는 이 70% 한도가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IRP 적립금이 5,000만원이면 주식형 ETF는 3,500만원까지 담을 수 있고, 1,500만원 이상은 예금·안전자산에 둔다.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자산운용사 ETF 가이드북·상품 설명 자료</w:t>
      </w:r>
    </w:p>
    <w:p>
      <w:pPr>
        <w:pStyle w:val="Heading3"/>
        <w:spacing w:after="80" w:before="200"/>
      </w:pPr>
      <w:r>
        <w:rPr>
          <w:rFonts w:ascii="맑은 고딕" w:cs="맑은 고딕" w:eastAsia="맑은 고딕" w:hAnsi="맑은 고딕"/>
        </w:rPr>
        <w:t xml:space="preserve">변동성 장세의 레버리지 위험과 거래 요건(사전교육·기본예탁금) (레버리지·인버스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레버리지·인버스는 '일간' 수익률의 배수를 따르므로 오르내림이 반복되면 지수가 제자리여도 손실이 쌓인다(변동성 끌림).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①: 금융투자교육원 사전교육(약 1시간, 4,000원)을 이수하고 증권사에 이수번호를 등록한다.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②: 기본예탁금 1,000만원 이상. 단일종목형은 2026-07-31부터 현금 3,000만원(대용증권 불인정, 신규·추가 매수 모두)이 필요하고, 2026-08-19부터는 사전교육이 총 3시간(기본 1 + 심화 2)으로 늘고 신규 투자자는 한국거래소 모의거래 5시간도 마쳐야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상장 레버리지 ETP도 사전교육(2025-12-15)과 기본예탁금 1,000만원(2026-05-22)이 적용된다. 그 전부터 거래하던 투자자는 예탁금 요건에서 제외되며, 인버스 포함 여부와 등급별 금액은 증권사마다 다르다.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요건을 채우지 못하면 교육을 마쳐도 매수 주문이 들어가지 않는다. 연금계좌에서는 살 수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지수가 100 → 90 → 99(−1%)로 움직이면 2배 레버리지는 100 → 80 → 96(−4%)이 된다.</w:t>
      </w:r>
    </w:p>
    <w:p>
      <w:pPr>
        <w:spacing w:after="120" w:line="312" w:lineRule="auto"/>
        <w:jc w:val="both"/>
      </w:pPr>
      <w:r>
        <w:rPr>
          <w:rFonts w:ascii="맑은 고딕" w:cs="맑은 고딕" w:eastAsia="맑은 고딕" w:hAnsi="맑은 고딕"/>
          <w:color w:val="5D665D"/>
          <w:sz w:val="18"/>
          <w:szCs w:val="18"/>
        </w:rPr>
        <w:t xml:space="preserve">자료: 금융투자교육원 레버리지 ETP 사전교육, 한국거래소 ETF 정보(투자설명서·PDF·기초지수)</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4f4e9dbd3943f394359265b66b53cd4aabbdbb.png"/><Relationship Id="rId10" Type="http://schemas.openxmlformats.org/officeDocument/2006/relationships/image" Target="media/e25ed5d91a4c5e855eac7c8aa3fe95405f3fb054.png"/><Relationship Id="rId11" Type="http://schemas.openxmlformats.org/officeDocument/2006/relationships/image" Target="media/2527be8d9d9000e6e5d4f60bda2c2f261e72db3f.png"/><Relationship Id="rId12" Type="http://schemas.openxmlformats.org/officeDocument/2006/relationships/image" Target="media/ff8a7f0bec1588d6768f32e40af1532bcce893f4.jpg"/><Relationship Id="rId13" Type="http://schemas.openxmlformats.org/officeDocument/2006/relationships/image" Target="media/dc6fd1b37b99c89dae8436d6fa03e86c00c2ae9d.jpg"/><Relationship Id="rId14" Type="http://schemas.openxmlformats.org/officeDocument/2006/relationships/image" Target="media/5805c4e5b20ab2d00530e1a56237e14291a3c9ab.jpg"/><Relationship Id="rId15" Type="http://schemas.openxmlformats.org/officeDocument/2006/relationships/image" Target="media/96f9967ee3d20654da5fc9cdc2cb8ffc2d8712ef.jpg"/><Relationship Id="rId16" Type="http://schemas.openxmlformats.org/officeDocument/2006/relationships/image" Target="media/e66a8776899762c6897d0fd6c8f0a00aec2788fe.jpg"/><Relationship Id="rId17" Type="http://schemas.openxmlformats.org/officeDocument/2006/relationships/image" Target="media/21161303311078c8cc9a7b14407276ca0cd31fe2.png"/><Relationship Id="rId18" Type="http://schemas.openxmlformats.org/officeDocument/2006/relationships/image" Target="media/fdc8c4cda99ba4bf903009b38b6b0ce273c72dca.png"/><Relationship Id="rId19" Type="http://schemas.openxmlformats.org/officeDocument/2006/relationships/image" Target="media/7e589ceb469eecf177b990a725678ebb71ae371b.png"/><Relationship Id="rId20" Type="http://schemas.openxmlformats.org/officeDocument/2006/relationships/image" Target="media/870a795547c67729c08a5ed65255f07104b7e4ad.png"/><Relationship Id="rId21" Type="http://schemas.openxmlformats.org/officeDocument/2006/relationships/image" Target="media/d3e3413468e60e7585211788837f4f9c13c1922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2026-10-19T20:25:27.911Z</dcterms:created>
  <dcterms:modified xsi:type="dcterms:W3CDTF">2026-10-19T20:25:27.911Z</dcterms:modified>
</cp:coreProperties>
</file>

<file path=docProps/custom.xml><?xml version="1.0" encoding="utf-8"?>
<Properties xmlns="http://schemas.openxmlformats.org/officeDocument/2006/custom-properties" xmlns:vt="http://schemas.openxmlformats.org/officeDocument/2006/docPropsVTypes"/>
</file>