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120"/>
        <w:jc w:val="center"/>
      </w:pPr>
      <w:r>
        <w:rPr>
          <w:rFonts w:ascii="맑은 고딕" w:cs="맑은 고딕" w:eastAsia="맑은 고딕" w:hAnsi="맑은 고딕"/>
          <w:color w:val="5D665D"/>
          <w:sz w:val="24"/>
          <w:szCs w:val="24"/>
        </w:rPr>
        <w:t xml:space="preserve">ETF 교육 콘텐츠 개인화 추천 시스템</w:t>
      </w:r>
    </w:p>
    <w:p>
      <w:pPr>
        <w:spacing w:after="200"/>
        <w:jc w:val="center"/>
      </w:pPr>
      <w:r>
        <w:rPr>
          <w:rFonts w:ascii="맑은 고딕" w:cs="맑은 고딕" w:eastAsia="맑은 고딕" w:hAnsi="맑은 고딕"/>
          <w:b/>
          <w:bCs/>
          <w:color w:val="1F6F55"/>
          <w:sz w:val="42"/>
          <w:szCs w:val="42"/>
        </w:rPr>
        <w:t xml:space="preserve">중간보고서 비판 검토 및 보완 보고서</w:t>
      </w:r>
    </w:p>
    <w:p>
      <w:pPr>
        <w:spacing w:after="600"/>
        <w:jc w:val="center"/>
      </w:pPr>
      <w:r>
        <w:rPr>
          <w:rFonts w:ascii="맑은 고딕" w:cs="맑은 고딕" w:eastAsia="맑은 고딕" w:hAnsi="맑은 고딕"/>
          <w:sz w:val="24"/>
          <w:szCs w:val="24"/>
        </w:rPr>
        <w:t xml:space="preserve">지적 11건의 문장 단위 분석 · 사실 확인 · 판정 · 간과 이유 · 잘못된 점 · 보완 내역 · 수치 변화</w:t>
      </w:r>
    </w:p>
    <w:p>
      <w:pPr>
        <w:spacing w:after="100"/>
        <w:jc w:val="center"/>
      </w:pPr>
      <w:r>
        <w:rPr>
          <w:rFonts w:ascii="맑은 고딕" w:cs="맑은 고딕" w:eastAsia="맑은 고딕" w:hAnsi="맑은 고딕"/>
          <w:sz w:val="21"/>
          <w:szCs w:val="21"/>
        </w:rPr>
        <w:t xml:space="preserve">작성일: 2026년 10월 19일 (검토 대상: 중간보고서 1차본, 비판 문서 ‘심층 검증 및 비판적 분석 보고서’)</w:t>
      </w:r>
    </w:p>
    <w:p>
      <w:pPr>
        <w:spacing w:after="100"/>
        <w:jc w:val="center"/>
      </w:pPr>
      <w:r>
        <w:rPr>
          <w:rFonts w:ascii="맑은 고딕" w:cs="맑은 고딕" w:eastAsia="맑은 고딕" w:hAnsi="맑은 고딕"/>
          <w:sz w:val="21"/>
          <w:szCs w:val="21"/>
        </w:rPr>
        <w:t xml:space="preserve">작성자: (이름 · 학번 기입)</w:t>
      </w:r>
    </w:p>
    <w:p>
      <w:pPr>
        <w:spacing w:after="1000"/>
      </w:pP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결론. </w:t>
      </w:r>
      <w:r>
        <w:rPr>
          <w:rFonts w:ascii="맑은 고딕" w:cs="맑은 고딕" w:eastAsia="맑은 고딕" w:hAnsi="맑은 고딕"/>
          <w:sz w:val="20"/>
          <w:szCs w:val="20"/>
        </w:rPr>
        <w:t xml:space="preserve">11건 중 수용 6건, 대부분 수용 1건, 부분 수용 2건, 불수용 1건, 긍정 평가 1건이다. 가장 뼈아픈 지적은 금융 도메인(기본예탁금·ISA·IRP 70%·과표기준가), 데이터 접근 방식(비공식 엔드포인트), 개인정보 설계였고, 공통 원인은 ‘확인하지 못한 사실을 비워 두거나 완곡한 문장으로 넘긴 것’이었다. 통계 지적 가운데 ‘산술 모순’은 사실과 달라 불수용했지만, 정답 없는 사용자 처리는 집단 결론을 실제로 바꾸었고(1차본 해석 정정), 손실 함수 지적은 노트북 세계에서 MLP 점수를 약 두 배로 올리는 실험 결과로 대부분 맞았다. 수용한 항목은 코드·데이터·문서에 반영하고 다시 학습·검증했다(학습 QA 116건, 자동화 테스트 87건 중 기본 실행 86건 통과, 노트북 재현 14개 수치 일치). 판정과 보완은 독립 검토를 거쳐 고쳤다(5절).</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요약표</w:t>
      </w:r>
    </w:p>
    <w:p>
      <w:pPr>
        <w:keepNext/>
        <w:spacing w:after="60" w:before="160"/>
      </w:pPr>
      <w:r>
        <w:rPr>
          <w:rFonts w:ascii="맑은 고딕" w:cs="맑은 고딕" w:eastAsia="맑은 고딕" w:hAnsi="맑은 고딕"/>
          <w:b/>
          <w:bCs/>
          <w:color w:val="1F6F55"/>
          <w:sz w:val="19"/>
          <w:szCs w:val="19"/>
        </w:rPr>
        <w:t xml:space="preserve">표 1. 지적별 판정 요약</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2108"/>
        <w:gridCol w:w="1355"/>
        <w:gridCol w:w="2937"/>
        <w:gridCol w:w="2410"/>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210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지적(비판 문서 절)</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판정</w:t>
            </w:r>
          </w:p>
        </w:tc>
        <w:tc>
          <w:tcPr>
            <w:tcW w:type="dxa" w:w="29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핵심 근거</w:t>
            </w:r>
          </w:p>
        </w:tc>
        <w:tc>
          <w:tcPr>
            <w:tcW w:type="dxa" w:w="241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보완</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모의 데이터 기술 통계의 ‘산술적 모순’</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5"/>
                <w:szCs w:val="15"/>
              </w:rPr>
              <w:t xml:space="preserve">불수용(표 설명 보완과 실데이터 정규화 장치는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네 열은 한 시도에 붙는 플래그다. 차이 25,264 = 통과 24,187 + 저장 12,825 − 미완료·비이탈 11,748. 모순 행 0건, 밀도는 결과값</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etfrec/data.py normalize_event_flags: 통과 ⇒ 퀴즈 ⇒ 완료, 이탈 ⇒ 미완료로 행을 맞추고 고친 행 수를 데이터 요약(event_repairs)에 남긴다. Datas…</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정답 없는 사용자를 NDCG 0으로 산입한 평가</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수용(요구는 전면 반영)</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관례가 갈린다(scikit-learn·TorchMetrics는 0점 포함). 방법 순위는 불변이지만 집단 결론(학습활동)은 뒤집혀 두 기준을 병기</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etfrec/pipeline.py: 방법별 결과에 ndcg_active·hit_active·active_users·difference_vs_global_active·ci_low/high_active…</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BCE 손실의 한계와 BPR 부재 → 딥러닝 결과 무효</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7806D"/>
                <w:sz w:val="15"/>
                <w:szCs w:val="15"/>
              </w:rPr>
              <w:t xml:space="preserve">대부분 수용(전제 일부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MLP는 관측 시도만 학습했다(미관측 0 가정 아님). 미관측 음성 BPR이 v1 MLP를 약 두 배로 올렸고, v2는 공통 학습 사용자에서 차이 없음(전체는 쌍 없는 사용자 대체 점수로 악화). ‘목표 불일치’ 단정 정정</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etfrec/neural.py: train_mf_bpr(미관측 음성, 에폭마다 다시 추출, 설정 6개), fit_observed_model의 mlp9_bpr(관측 음성)·mlp9_bpru(미관측 음…</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Diversity@5(주제가 다른 단원 쌍의 비율)의 타당성</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5"/>
                <w:szCs w:val="15"/>
              </w:rPr>
              <w:t xml:space="preserve">긍정 평가(해석 보완)</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정의는 타당(단원 2개 이상). 다양성 상승은 같은 주제의 선수 사슬 때문(꽉 찬 5개 목록에서도 상승)</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중간보고서 6.1절에 정의(2개 미만이면 0)를, 6.6절에 다양성 상승의 구조적 원인(같은 주제의 선수 사슬)과 지표의 한계를 넣었다.</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온라인 A/B 테스트의 검정력과 현실적 한계</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수용(통계 표현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표본 공식은 맞다. 단측 우월성은 비열등성이 아니고, 외생 충격은 편향이 아니라 분산 문제. 7.3절 재작성</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주 지표를 ‘노출 후 7일 안에 퀴즈를 1개 이상 통과한 사용자 비율’(사용자별 이진 결과)로 정의했다.</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ETP 기본예탁금 누락</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‘증권사 확인’만 적어 실질적 누락. 단일종목 현금 3,000만원(7/31)·교육 3시간과 모의거래 5시간(8/19)까지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etfrec/taxonomy.py LEVERAGE_RULES(기준일 2026-10-13): ① 사전교육과 이수번호 등록, ② 기본예탁금 1,000만원, ③ 단일종목형 현금 3,000만원·사전교육 총…</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 계좌 누락과 IRP 위험자산 70% 한도 누락</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수용(수치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ISA·IRP 70% 누락은 사실. ‘400만원 전면 비과세’는 서민형 기준, ‘유일한 대안’은 오류</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v2에 주제 ‘절세 계좌’ 3단원(ISA 계좌란: 비과세 한도와 분리과세 / ISA 유형·납입 한도·의무가입 기간 / ISA 만기 자금의 연금계좌 전환과 절세 순서)과 선수 관계(분배금 1…</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 ETF 과세의 ‘과표기준가’ 메커니즘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‘보유기간 과세’ 용어만 있었다. 작은 금액 과세와 비대칭을 본문·카드·퀴즈·단기 매매 로드맵에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 단원 제목 ‘해외 ETF 세금: 과표기준가·보유기간과세와 양도소득세’와 v2 전용 개념 태그(v1 재현용 태그는 그대로).</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KRX 정보데이터시스템 비공식 엔드포인트 호출(크롤링)</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수용(약관 조항 번호 미검증, 처방은 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비공식 호출을 삭제했다. 약관 조항·횟수는 미검증. 기본정보는 공공데이터포털에 있는지 확인되지 않아 수동 파일 경로 유지</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화면용 비공식 엔드포인트(getJsonData.cmd) 호출 코드를 삭제했다(저장소 코드에서 호출 0건). 자동 수집은 KRX Open API(인증키 AUTH_KEY 헤더)와 공공데이터포털 API(…</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가명정보 처리 가이드라인 위반 위험(k-익명성·망 분리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수용(법령 수치 정정, k-익명화 범위 조정)</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준식별자 결합 위험은 사실. 과징금 10%는 특례(일반 3%), 조문은 미검증. 원시 준식별자 미보관과 공개 산출물 k≥5로 보완</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저장 최소화: 번들 프로필·특징 저장소·learner_profiles.csv에서 원시 연령·연소득을 없애고 연령대·소득분위 구간만 남겼다. 모델 입력은 원래 구간 코드라 결과가 같다(v1 14개 값…</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서론·결론</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‘실제 서비스 배포에 치명적 결함’이라는 총평</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배포 불가라는 판단에는 동의한다. 통계 항목을 ‘모순·왜곡’으로 규정한 부분에만 동의하지 않는다</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이 문서와 중간보고서 2차본(1절 요약, 6.7절 실서비스 전 필요 조건, 부록 E).</w:t>
            </w:r>
          </w:p>
        </w:tc>
      </w:tr>
    </w:tbl>
    <w:p>
      <w:pPr>
        <w:spacing w:after="100"/>
      </w:pPr>
    </w:p>
    <w:p>
      <w:pPr>
        <w:spacing w:after="120" w:line="312" w:lineRule="auto"/>
        <w:jc w:val="both"/>
      </w:pPr>
      <w:r>
        <w:rPr>
          <w:rFonts w:ascii="맑은 고딕" w:cs="맑은 고딕" w:eastAsia="맑은 고딕" w:hAnsi="맑은 고딕"/>
          <w:sz w:val="21"/>
          <w:szCs w:val="21"/>
        </w:rPr>
        <w:t xml:space="preserve">판정 기준: ‘수용’ = 지적이 사실이고 결과물에 결함이 있어 고쳤다. ‘대부분 수용’ = 핵심 주장이 실험으로 대부분 확인되었고 전제 일부만 정정한다. ‘부분 수용’ = 요구는 반영했으나 지적의 전제나 결론 일부가 사실과 달라 정정한다. ‘불수용’ = 지적의 사실관계가 틀렸다(오해를 부른 표현과 관련 장치는 보완). ‘긍정 평가’ = 비판이 타당성을 인정한 항목. 3절의 문장 단위 표에서는 비판의 각 문장을 사실·부분·오류·미검증·이미 충족·요구 수용으로 판정했다.</w:t>
      </w:r>
    </w:p>
    <w:p>
      <w:pPr>
        <w:pStyle w:val="Heading1"/>
        <w:spacing w:after="160" w:before="360"/>
      </w:pPr>
      <w:r>
        <w:rPr>
          <w:rFonts w:ascii="맑은 고딕" w:cs="맑은 고딕" w:eastAsia="맑은 고딕" w:hAnsi="맑은 고딕"/>
        </w:rPr>
        <w:t xml:space="preserve">2. 검토 방법</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문장 단위 분해: </w:t>
      </w:r>
      <w:r>
        <w:rPr>
          <w:rFonts w:ascii="맑은 고딕" w:cs="맑은 고딕" w:eastAsia="맑은 고딕" w:hAnsi="맑은 고딕"/>
          <w:sz w:val="21"/>
          <w:szCs w:val="21"/>
        </w:rPr>
        <w:t xml:space="preserve">비판 문서를 절로 나누고, 각 절의 문장을 (a) 사실 주장, (b) 결과물에 대한 평가, (c) 요구 사항으로 분리했다. 한 절에 요구가 여럿이면(예: 4.2절의 ISA와 IRP 70%) 모두 따로 판정했다.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1차본 대조: </w:t>
      </w:r>
      <w:r>
        <w:rPr>
          <w:rFonts w:ascii="맑은 고딕" w:cs="맑은 고딕" w:eastAsia="맑은 고딕" w:hAnsi="맑은 고딕"/>
          <w:sz w:val="21"/>
          <w:szCs w:val="21"/>
        </w:rPr>
        <w:t xml:space="preserve">비판이 인용하거나 평가한 1차본 문장을 원문에서 찾아 그대로 옮겼다. 비판이 1차본에 없는 내용을 1차본의 것으로 평가한 경우(4.2절 세액공제 숫자, 4.3절 250만원 공제)도 표시했다.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코드·데이터 대조: </w:t>
      </w:r>
      <w:r>
        <w:rPr>
          <w:rFonts w:ascii="맑은 고딕" w:cs="맑은 고딕" w:eastAsia="맑은 고딕" w:hAnsi="맑은 고딕"/>
          <w:sz w:val="21"/>
          <w:szCs w:val="21"/>
        </w:rPr>
        <w:t xml:space="preserve">주장이 가리키는 코드(파일·함수)를 직접 읽고, 필요한 수치는 학습 번들로 다시 계산했다. 예: 이벤트 생성 규칙(etfrec/synth.py), MLP 학습 행(etfrec/signals.py), NDCG 정의(etfrec/evaluation.py), 목록 길이별 다양성, KRX 수집(etfrec/sources/).</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외부 사실 확인: </w:t>
      </w:r>
      <w:r>
        <w:rPr>
          <w:rFonts w:ascii="맑은 고딕" w:cs="맑은 고딕" w:eastAsia="맑은 고딕" w:hAnsi="맑은 고딕"/>
          <w:sz w:val="21"/>
          <w:szCs w:val="21"/>
        </w:rPr>
        <w:t xml:space="preserve">금융·세제·법령 주장은 2026년 10월 13~14일 웹 검색(보도·기관 안내 요약)으로 확인했고(부록 A), 확인하지 못한 세부(약관 조항 번호, 법 조문 번호)는 단정하지 않았다. 개발 환경에서 한국 기관 사이트 본문을 직접 열 수 없어 검색 요약에 의존한 한계가 있으므로, 원문 대조를 11월 일정에 넣었다.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보완과 재검증: </w:t>
      </w:r>
      <w:r>
        <w:rPr>
          <w:rFonts w:ascii="맑은 고딕" w:cs="맑은 고딕" w:eastAsia="맑은 고딕" w:hAnsi="맑은 고딕"/>
          <w:sz w:val="21"/>
          <w:szCs w:val="21"/>
        </w:rPr>
        <w:t xml:space="preserve">수용 항목을 코드와 문서에 반영한 뒤 전체를 다시 학습했다(모의 데이터 v2, 설정 2,640개, QA 116건 통과). 노트북 원본 세계(v1)는 새 기법군을 더해도 14개 수치가 소수점 5자리까지 일치한다. 자동화 테스트는 87건을 모으며 기본 실행에서 86건이 통과한다(노트북 전체 재현 1건은 ETFREC_FULL=1일 때만 실행). 같은 seed로 v1·v2를 다시 학습하면 결과 파일과 모델 상태 해시가 같다(시간 열 제외).</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독립 검토: </w:t>
      </w:r>
      <w:r>
        <w:rPr>
          <w:rFonts w:ascii="맑은 고딕" w:cs="맑은 고딕" w:eastAsia="맑은 고딕" w:hAnsi="맑은 고딕"/>
          <w:sz w:val="21"/>
          <w:szCs w:val="21"/>
        </w:rPr>
        <w:t xml:space="preserve">판정의 편향을 줄이려고 별도 검토자가 각 판정을 비판 문서·코드·데이터에 대조했다. 검토는 판정 검증(1회차 1~2.2절, 2회차 2.3~결론)과 최종 코드·문서 검토(모델·도메인·데이터 수집·개인정보)로 나눴다. 검토에서 나온 지적과 처리 결과는 5절에 정리했다.</w:t>
      </w:r>
    </w:p>
    <w:p>
      <w:r>
        <w:br w:type="page"/>
      </w:r>
    </w:p>
    <w:p>
      <w:pPr>
        <w:pStyle w:val="Heading1"/>
        <w:spacing w:after="160" w:before="360"/>
      </w:pPr>
      <w:r>
        <w:rPr>
          <w:rFonts w:ascii="맑은 고딕" w:cs="맑은 고딕" w:eastAsia="맑은 고딕" w:hAnsi="맑은 고딕"/>
        </w:rPr>
        <w:t xml:space="preserve">3. 항목별 분석</w:t>
      </w:r>
    </w:p>
    <w:p>
      <w:pPr>
        <w:pStyle w:val="Heading2"/>
        <w:keepNext/>
        <w:spacing w:after="120" w:before="260"/>
      </w:pPr>
      <w:r>
        <w:rPr>
          <w:rFonts w:ascii="맑은 고딕" w:cs="맑은 고딕" w:eastAsia="맑은 고딕" w:hAnsi="맑은 고딕"/>
        </w:rPr>
        <w:t xml:space="preserve">3.1 모의 데이터 기술 통계의 ‘산술적 모순’ (비판 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B2362D"/>
          <w:sz w:val="21"/>
          <w:szCs w:val="21"/>
        </w:rPr>
        <w:t xml:space="preserve">불수용(표 설명 보완과 실데이터 정규화 장치는 수용)</w:t>
      </w:r>
      <w:r>
        <w:rPr>
          <w:rFonts w:ascii="맑은 고딕" w:cs="맑은 고딕" w:eastAsia="맑은 고딕" w:hAnsi="맑은 고딕"/>
          <w:color w:val="5D665D"/>
          <w:sz w:val="18"/>
          <w:szCs w:val="18"/>
        </w:rPr>
        <w:t xml:space="preserve">   (비판 문서 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표 8은 학습 시도를 108,777건으로 보고한다. 그런데 완료(50,257)·퀴즈 통과(24,187)·저장(12,825)·이탈(46,772)을 합하면 134,041건으로 25,264건을 초과하는 수학적 모순이 생긴다 … 이탈과 완료/퀴즈 통과는 동시에 성립할 수 없는데 10.2%라는 고정된 희소성 제약 아래서 난수 생성 로직이 통제 없이 할당했을 개연성이 있다 … 마르코프 체인 상태 전이 확률을 수정하고 세션 ID 기준으로 1NF 정규화해야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2. 비판 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15,000명 모의 학습자로 2,631개 설정을 검증한 접근은 방법론적으로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 2차본 설정 수는 2,640개다.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목적별 구성의 합이 15,000명으로 맞으므로 프로필 생성기의 무결성이 검증된다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 v2의 목적·기간 분포 합계가 학습자 수와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2025년 말 1,058종목·순자산 297조 원은 KRX 결산과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부록 A의 출처와 같다.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이벤트의 합 134,041건이 시도 108,777건보다 25,264건 많으므로 수학적 모순이다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덧셈은 맞지만 해석이 틀렸다. 네 열은 한 시도(행)에 붙는 플래그이고 서로 배타적인 범주가 아니다. 차이 25,264건은 퀴즈 통과 24,187(이미 완료에 포함) + 저장 12,825(독립 플래그) − 미완료이면서 이탈하지 않은 시도 11,748(네 열 어디에도 잡히지 않음)로 정확히 분해된다. 2차본 데이터도 25,259 = 24,401 + 12,570 − 11,712로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 안의 완료·통과·저장이 정규화 없이 독립 빈도로 병합되었을 가능성이 크다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시도에 여러 플래그가 함께 붙는 것은 설계 그대로다. 그러나 ‘병합’은 없다. 표는 플래그별 건수를 보고했을 뿐이고, 모델 입력인 행동 점수는 시도마다 max(조회 1, 완료 2, 통과 3, 저장 3) 하나로 줄인다. 같은 단원을 여러 주에 다시 시도하면 점수를 더하는데(etfrec/features.py), 이는 반복 학습을 더 강한 신호로 보는 설계이며 1차본에 적지 않아 2차본 4.4절에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완료·통과는 동시에 성립할 수 없는데 통제 없이 할당되었을 개연성이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생성기(etfrec/synth.py)는 완료를 먼저 정하고 퀴즈 = 완료 ∧ …, 통과 = 퀴즈 ∧ …, 이탈 = ¬완료 ∧ … 로 만든다. 이탈∧완료 0건, 통과∧¬퀴즈 0건, 퀴즈∧¬완료 0건이며 v1 세계도 모두 0건이다.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10.2%라는 고정된 희소성 제약 아래서 난수를 할당했다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값(사용자×단원 고유 쌍 ÷ 전체 칸)이며 생성기에 목표 밀도가 없다. 생성기는 주마다 활동 학습자를 뽑고 각자 1~8개 단원을 효용(주제 선호·관심 주제·수준 차이·인기·이미 본/통과한 단원) 순위로 고른다. 2차본 밀도는 단원 수가 늘어 9.86%다.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모순된 로그가 들어가면 CF·MF가 생성기의 노이즈 규칙을 학습한다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 행이 없으므로 전제는 성립하지 않는다. 다만 모의 데이터로 평가하면 모델이 생성기 규칙을 배우는 것은 피할 수 없는 한계라, 1차본부터 생성 규칙을 공개하고 효과를 끈 위약 세계(--effect 0)에서 없는 효과를 만들어 내지 않는지 확인한다.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상태 전이 확률을 수정해 이벤트 종속성을 강제해야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전이다(완료 → 퀴즈 시도 0.7 → 통과 σ(·), 미완료 → 이탈 0.8). 바꿀 결함이 없다.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세션 ID 기준으로 1NF 정규화해야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로그는 한 행이 한 시도이고 모든 열이 원자값이다. 실제 이벤트 스트림을 연결할 때 시도 단위로 모으는 규칙과 플래그 논리 검사는 2차본에 추가했다(아래).</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표 8: ‘학습 시도 · 완료 · 퀴즈 통과 · 저장 · 이탈 | 108,777 · 50,257 · 24,187 · 12,825 · 46,772’, ‘사용자×단원 고유 쌍 · 밀도 | 96,008 · 10.2%’. 다섯 수를 한 칸에 나열했을 뿐 열의 정의는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생성기가 모순을 만들지 않으니 데이터에는 문제가 없다고 보고, 표를 읽는 사람이 어떻게 이해할지는 점검하지 않았다. 같은 이유로 다른 입력 경로(화면에서 받는 임의 학습자의 기록, 운영 로그 CSV)에서 같은 논리가 지켜지는지도 확인하지 않았다.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표 8에 ‘이벤트 열은 한 시도의 다중 플래그’라는 설명과 중첩 구조가 없어 배타적 건수로 읽힐 여지를 남겼다.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밀도를 같은 표에 나란히 두어 생성기의 제약처럼 읽힐 수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화면에서 임의 학습자의 기록을 받을 때는 완료와 이탈을 함께 표시할 수 있었고 이를 막지 않았다(etfrec/service.py, 실제 결함).</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운영 로그를 CSV로 연결할 때 플래그 논리를 검사·정규화하는 장치가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같은 단원의 반복 시도를 합산하는 규칙을 문서에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‘산술 모순’, ‘생성기 난수 결함’, ‘고정 희소성 제약’, ‘마르코프 체인·1NF 수정 필요’는 위 근거로 사실과 달라 보완 대상에서 제외했다. 생성기는 고치지 않았다.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etfrec/data.py normalize_event_flags: 통과 ⇒ 퀴즈 ⇒ 완료, 이탈 ⇒ 미완료로 행을 맞추고 고친 행 수를 데이터 요약(event_repairs)에 남긴다. Dataset.validate가 모든 입력에 적용한다.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etfrec/service.py: 임의 학습자의 기록에서 완료와 이탈이 함께 들어오면 이탈을 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QA에 event_logic_drop_excludes_complete, event_logic_quiz_pass_requires_quiz_and_complete를 추가해 매 학습마다 확인하고, 실패하면 학습을 멈춘다.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데이터 요약에 quiz_attempted·not_complete·replay와 세 가지 논리 제약 건수를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4.4절 표를 ‘시도 → 완료/미완료 → 퀴즈 시도 → 통과, 이탈 ⊆ 미완료, 저장(독립)’ 구조로 바꾸고 합계 검산 행, 밀도의 성격, 점수·반복 시도 규칙을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QA 80 → 116건(모두 통과, 이벤트 논리 검사 포함). 모의 데이터에서 고친 행은 v1·v2 모두 0건이다. 1차본과 2차본의 수치 차이는 카탈로그가 63 → 66단원으로 바뀌어 세계를 다시 만든 결과이며, 정규화 때문이 아니다.</w:t>
      </w:r>
    </w:p>
    <w:p>
      <w:pPr>
        <w:pStyle w:val="Heading2"/>
        <w:keepNext/>
        <w:spacing w:after="120" w:before="260"/>
      </w:pPr>
      <w:r>
        <w:rPr>
          <w:rFonts w:ascii="맑은 고딕" w:cs="맑은 고딕" w:eastAsia="맑은 고딕" w:hAnsi="맑은 고딕"/>
        </w:rPr>
        <w:t xml:space="preserve">3.2 정답 없는 사용자를 NDCG 0으로 산입한 평가 (비판 2.1절)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수용(요구는 전면 반영)</w:t>
      </w:r>
      <w:r>
        <w:rPr>
          <w:rFonts w:ascii="맑은 고딕" w:cs="맑은 고딕" w:eastAsia="맑은 고딕" w:hAnsi="맑은 고딕"/>
          <w:color w:val="5D665D"/>
          <w:sz w:val="18"/>
          <w:szCs w:val="18"/>
        </w:rPr>
        <w:t xml:space="preserve">   (비판 문서 2.1절)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테스트 사용자 6,438명 중 45.8%인 2,949명은 3주차 정답이 없는데 NDCG를 0으로 일괄 처리해 평균에 산입하고 이를 ‘보수적 추정’이라 자평했다 … IDCG가 0이면 0/0으로 정의되지 않으며, 이런 사용자를 평가에서 배제하는 것이 확립된 표준이다 … 활성 3,489명만으로 재산출하면 ≈0.247 … 알고리즘 간 미세한 성능 편차를 축소하고 A/B 효과 크기 추정마저 오도한다.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3. 비판 2.1절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 15에서 운영 라우터의 NDCG@5는 0.1343이다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수치다.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테스트 6,438명 중 2,949명(45.8%)은 정답이 없다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감사 기록과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이들을 0으로 평균에 넣고 ‘보수적 추정’이라고 자평했다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3.2절·6.1절의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IDCG = 0이면 NDCG는 0/0으로 정의되지 않는다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구현은 이 경우를 0으로 정의했다(노트북과 같은 규칙).</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이런 사용자를 배제하는 것이 학계와 산업계의 확립된 표준이다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배제하는 연구가 많지만 널리 쓰이는 구현은 갈린다. scikit-learn ndcg_score와 TorchMetrics RetrievalNormalizedDCG(기본 설정)는 정답 없는 질의를 0점으로 평균에 넣는다. 관례가 갈리므로 어느 쪽인지 밝히고 두 값을 함께 보고하는 것이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산입으로 신호가 노이즈에 의해 절반 가까이 희석된다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절댓값이 0.541배로 줄어드는 것은 맞다. 그러나 정답 없는 사용자는 모든 방법에서 정확히 0이어서 ‘노이즈’가 아니라 같은 상수 배율이다. 방법 간 쌍 비교에서 이들의 차이는 0이다.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3,489명만으로 재산출하면 기준 모델은 ≈0.247이다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 × 6,438 ÷ 3,489 = 0.2478. 2차본 번들에서 운영 라우터는 0.2471(활성 3,542명)이다.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알고리즘 간 미세한 성능 편차를 축소한다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절대 차이는 0.541배로 줄지만 순위는 항상 같고, 유의성 판정도 이번 실행에서 모든 방법이 같았다. 그런데 집단 비교에서는 결론이 바뀌었다(학습활동 집단에서 가장 높은 집단이 바뀜, 아래 표). 1차본 6.5절의 해석이 실제로 틀렸으므로 이 부분의 지적은 처음 판단보다 더 정확했다.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테스트의 효과 크기 추정마저 오도한다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통과율(22% → 24%)로 계산하며 오프라인 NDCG를 쓰지 않는다. 비판 3절도 그 계산을 ‘무결’로 확인했다.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3.2절: ‘정답 없는 사용자도 NDCG 0으로 평균에 넣어(노트북 규칙) 보수적으로 추정하고 그 수를 감사 기록에 남김’. 6.1절: ‘… 노트북의 규칙을 그대로 따르므로 절대 수치는 보수적이며 …’. 6.5절: ‘학습활동이 많은 집단이 가장 높은 것은 기록이 많을수록 개인화가 잘 되는 자연스러운 결과다’.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노트북 기록과 소수점 5자리까지 맞추는 재현을 최우선에 두어 노트북 규칙의 값만 보고했다. 다른 연구와 비교하려면 다른 관례의 값이 필요하다는 점, 그리고 집단마다 정답 있는 사용자의 비율이 달라 집단 비교가 활동량과 섞인다는 점을 계산해 보지 않았다. ‘보수적’이라는 한 단어로 설명을 대신했다.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한 가지 관례의 값만 보고하고 다른 관례의 값을 병기하지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‘보수적’은 방법 간 비교에서만 맞는 표현이었다. 집단 비교에서는 보수적인 것이 아니라 활성 비율과 섞인 값이었다.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그 결과 1차본 6.5절의 학습활동 집단 해석은 정답 없는 사용자 처리 방식이 만든 착시였다.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‘확립된 표준’(관례가 갈림), ‘노이즈 희석’(상수 배율), ‘A/B 효과 크기 오도’(무관)는 근거와 함께 정정하고 보완 대상에서 제외했다. 지표 정의(IDCG = 0이면 0)는 노트북 재현을 위해 그대로 두고 활성 기준을 함께 계산한다.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etfrec/pipeline.py: 방법별 결과에 ndcg_active·hit_active·active_users·difference_vs_global_active·ci_low/high_active 열을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집단별 결과(group_results.csv)에 활성 사용자 수·활성 비율·활성 기준 NDCG와 95% 구간을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ndcg_active_identity(활성 × 활성 인원 = 전체 × 전체 인원), active_users_identical_across_methods, active_rank_preserved. 감사 기록에 다음 주 통과 기록이 있는 사용자(3,565명)와 후보 안에 정답이 있는 활성 사용자(3,542명)를 구분해 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평가 화면(10단계), README, 중간보고서 6.1·6.3·6.5·7.1절에 두 기준을 병기하고 그림 9(방법별)와 그림 11(집단별)을 두 기준으로 다시 그렸다.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방법별 NDCG@5(전체 / 활성): 규칙 0.1338 / 0.2471, 운영 라우터 0.1338 / 0.2471, 인기 0.1037 / 0.1915, 무작위 0.0406 / 0.0750. 순위는 같다. 학습활동 집단은 두 기준에서 가장 높은 집단이 바뀐다(전체 많음(10+), 활성 신규(조회 0)).</w:t>
      </w:r>
    </w:p>
    <w:p>
      <w:pPr>
        <w:keepNext/>
        <w:spacing w:after="60" w:before="160"/>
      </w:pPr>
      <w:r>
        <w:rPr>
          <w:rFonts w:ascii="맑은 고딕" w:cs="맑은 고딕" w:eastAsia="맑은 고딕" w:hAnsi="맑은 고딕"/>
          <w:b/>
          <w:bCs/>
          <w:color w:val="1F6F55"/>
          <w:sz w:val="19"/>
          <w:szCs w:val="19"/>
        </w:rPr>
        <w:t xml:space="preserve">표 4. 학습활동 집단별 NDCG@5(운영 라우터): 가장 높은 집단이 전체 기준 많음(10+), 활성 기준 신규(조회 0)</w:t>
      </w:r>
    </w:p>
    <w:tbl>
      <w:tblPr>
        <w:tblW w:type="dxa" w:w="9412"/>
        <w:tblBorders>
          <w:top w:val="single" w:color="BBBBBB" w:sz="6"/>
          <w:left w:val="none" w:sz="0"/>
          <w:bottom w:val="single" w:color="BBBBBB" w:sz="6"/>
          <w:right w:val="none" w:sz="0"/>
          <w:insideH w:val="single" w:color="DDDDDD" w:sz="4"/>
          <w:insideV w:val="none" w:sz="0"/>
        </w:tblBorders>
      </w:tblPr>
      <w:tblGrid>
        <w:gridCol w:w="2225"/>
        <w:gridCol w:w="1540"/>
        <w:gridCol w:w="1540"/>
        <w:gridCol w:w="2054"/>
        <w:gridCol w:w="2053"/>
      </w:tblGrid>
      <w:tr>
        <w:trPr>
          <w:tblHeader/>
        </w:trPr>
        <w:tc>
          <w:tcPr>
            <w:tcW w:type="dxa" w:w="222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학습활동</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비율</w:t>
            </w:r>
          </w:p>
        </w:tc>
        <w:tc>
          <w:tcPr>
            <w:tcW w:type="dxa" w:w="2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전체</w:t>
            </w:r>
          </w:p>
        </w:tc>
        <w:tc>
          <w:tcPr>
            <w:tcW w:type="dxa" w:w="20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활성</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신규(조회 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928</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42.7%</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0.136</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0.318</w:t>
            </w:r>
          </w:p>
        </w:tc>
      </w:tr>
      <w:tr>
        <w:trPr>
          <w:cantSplit w:val="false"/>
        </w:trPr>
        <w:tc>
          <w:tcPr>
            <w:tcW w:type="dxa" w:w="222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보통(1~9)</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3,524</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49.8%</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w:t>
            </w:r>
          </w:p>
        </w:tc>
        <w:tc>
          <w:tcPr>
            <w:tcW w:type="dxa" w:w="205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0.257</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많음(10+)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2,092</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66.4%</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0.215</w:t>
            </w:r>
          </w:p>
        </w:tc>
      </w:tr>
    </w:tbl>
    <w:p>
      <w:pPr>
        <w:spacing w:after="100"/>
      </w:pPr>
    </w:p>
    <w:p>
      <w:pPr>
        <w:pStyle w:val="Heading2"/>
        <w:keepNext/>
        <w:spacing w:after="120" w:before="260"/>
      </w:pPr>
      <w:r>
        <w:rPr>
          <w:rFonts w:ascii="맑은 고딕" w:cs="맑은 고딕" w:eastAsia="맑은 고딕" w:hAnsi="맑은 고딕"/>
        </w:rPr>
        <w:t xml:space="preserve">3.3 BCE 손실의 한계와 BPR 부재 → 딥러닝 결과 무효 (비판 2.2절)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7806D"/>
          <w:sz w:val="21"/>
          <w:szCs w:val="21"/>
        </w:rPr>
        <w:t xml:space="preserve">대부분 수용(전제 일부 정정)</w:t>
      </w:r>
      <w:r>
        <w:rPr>
          <w:rFonts w:ascii="맑은 고딕" w:cs="맑은 고딕" w:eastAsia="맑은 고딕" w:hAnsi="맑은 고딕"/>
          <w:color w:val="5D665D"/>
          <w:sz w:val="18"/>
          <w:szCs w:val="18"/>
        </w:rPr>
        <w:t xml:space="preserve">   (비판 문서 2.2절)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MF·MLP의 성능(각각 0.0698, 0.0734)이 인기(0.0951)나 무작위(0.0430) 수준에 머문 원인을 ‘학습 목표와 평가 목표의 불일치’로 단순히 치부했다 … 근본 원인은 BCE라는 점별 손실을 암묵적 피드백에 기계적으로 적용한 데 있다 … BCE는 관측되지 않은 모든 항목을 절대적 0으로 가정하고, 밀도 10.2%에서 예측값을 0으로 붕괴시킨다 … BPR이 표준이며, BPR로 재학습하지 않는 이상 딥러닝 평가 결과는 학술적으로 전혀 유효하지 않다.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5. 비판 2.2절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MF와 MLP의 성능은 각각 0.0698, 0.0734다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0.0698은 관측 MF(관측된 행만 MSE)이고, 미관측을 표본 0으로 쓰는 표본 MF는 0.0686이었다. 둘 다 BCE가 아니다(표본 MF는 신뢰도 가중 MSE).</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MF·MLP가 인기나 무작위 수준에 머물렀다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인기보다는 낮았지만 v2에서 무작위보다는 확실히 높았다(MLP − 무작위 +0.0452 [+0.0398, +0.0507]). 노트북 세계(v1)에서는 MLP가 무작위보다 낮았다(−0.0067 [−0.0117, −0.0017]).</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원인을 ‘목표 불일치’로 단순히 치부했다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실험 없이 ‘모델 결함이 아니라 목표 불일치’라고 단정했다(아래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근본 원인은 점별 BCE를 암묵적 피드백에 기계적으로 적용한 데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노트북 세계에서는 맞다. 비판이 처방한 BPR(미관측 음성)을 쓰면 v1에서 MLP 점수(0.05325 → 0.10638)가 유의하게 개선되었고, 네 MLP가 모두 학습한 사용자(4,696명)로 좁혀도 유의하게 개선되었다. BPR MF는 표본 MF보다 v1·v2 모두 유의하게 개선되었다. 그러나 v2에서는 네 MLP가 모두 학습한 사용자(3,929명)로 좁히면 MLP와 유의한 차이가 없었고, 전체 사용자로는 유의하게 나빠졌다. 전체의 차이는 학습 주에 통과가 없어 쌍이 없는 사용자(1,687명)에게서 나온다. 이들은 점별 MLP에서는 미통과 행으로 학습되지만 쌍별 모델에서는 콘텐츠 대체 점수를 받는다. 두 세계에서 일관되게 효과를 낸 것은 음성 정의였다. 학습 범위가 같은 두 쌍별 모델에서 음성을 미통과 시도에서 미관측 단원으로 바꾸면 v1·v2 모두 유의하게 개선되었다.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암묵적 피드백에서 관측되지 않은 것은 부정이 아니다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일반론으로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BCE는 관측되지 않은 모든 항목을 0(거절)으로 가정한다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 MLP에는 해당하지 않는다. MLP는 관측된 시도 행만 학습했다(양성 = 통과, 음성 = 시도했지만 미통과). 미관측 단원은 0으로 둔 것이 아니라 아예 학습에 쓰지 않았다. 문제는 오히려 이것이었다(아래 해석).</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붕괴하는 클래스 불균형·과적합에 빠진다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‘0으로 붕괴’와 ‘극단적 불균형’은 데이터와 다르다. 학습 행의 통과 비율은 22.1%이고, 마지막 학습 손실 0.424는 통과율만 맞히는 상수 예측의 손실 0.528보다 낮으며, MLP 추천 목록의 Diversity@5는 0.998이다. ‘과적합’은 검증 손실 기록이 없어 산출물로 판단할 수 없다. 다만 v2에서 MLP의 테스트 NDCG가 무작위보다 높아 학습한 패턴이 다음 주에도 일부 통한다.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추천의 목표는 순위이며 BPR 같은 쌍별 손실이 표준이다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널리 쓰이는 기준선이다(Rendle 외 2009). 1차본에 이 기준선이 없었던 것은 결함이다.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규칙에 참패한 것은 아키텍처 설계의 치명적 오류다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손실을 바꿔도 신경망 최고치(v1 0.1064, v2 0.0858)는 규칙(v1 0.1712, v2 0.1338)에 미치지 못했다. 생성기가 관심 주제·수준·목적으로 행동을 만드는 영향도 크다.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BPR로 재학습하지 않는 이상 딥러닝 결과는 학술적으로 전혀 유효하지 않다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‘전혀 무효’는 과하다. 1차본 결과는 같은 후보·정답·후처리에서 수업 레시피의 성능으로는 유효하다. 그러나 ‘신경망이 이 문제에서 할 수 있는 것’의 증거로는 불완전했으므로 BPR 계열 4개를 추가해 보완했다.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3.1절 기법 표: ‘사용자·단원 특징 → 은닉층 → 통과 확률(BCEWithLogitsLoss)’. 6.3절: ‘MF·MLP가 무작위와 비슷하거나 그보다 조금 높은 수준에 머문 것은 학습 목표(시도한 단원의 통과 여부)와 평가 목표(다음 주에 어떤 단원을 골라 통과하는지)가 어긋나기 때문이며 …’. 7절: ‘MF·MLP의 낮은 성능은 모델 결함이 아니라 목표 불일치이며, 랭킹 손실(BPR 등)로 … 변형을 다음 단계에서 비교한다’.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수업 레시피(BCE·MSE)를 같은 조건에서 비교하는 데 집중했고, 낮은 성능의 원인을 실험 없이 단정했다. 기법 표에 학습 행과 음성의 정의를 쓰지 않아 ‘BCE = 미관측 0’으로 읽힐 여지를 남겼고, BPR 구현 비용을 과대평가해 ‘다음 단계’로 미뤘다. 보완 과정에서도 처음에는 관측 음성 쌍별 MLP 하나만 비교하고 같은 결론을 되풀이했는데, 그 변형은 비판이 말한 BPR(미관측 음성)이 아니었다. 음성 정의를 분리한 실험을 하고 나서야 정정할 수 있었다. 그다음에는 모델마다 누가 학습되고 누가 대체 점수를 받는지(학습 사용자 범위)를 점검하지 않았다. 점별 MLP에서 맞는 ‘관측 행이 있으면 학습된 사용자’ 규칙을 쌍별 MLP에도 그대로 써서, 쌍에 한 번도 나오지 않은 사용자를 학습된 사용자로 표시했다. 최종 검토가 이 결함을 찾았고, 고친 뒤 v2의 전체 사용자 결론은 ‘차이 없음’에서 ‘유의하게 나빠짐’으로 바뀌었다.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근거 없는 인과 주장(‘모델 결함이 아니라 목표 불일치’)을 결론처럼 쓰고, 랭킹 손실(BPR) 비교를 다음 단계로 미뤘다.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순위 학습의 표준 기준선(BPR)이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기법별 학습 목표(어떤 행에 어떤 손실)를 문서에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보완 1·2회차의 쌍별 MLP는 학습 사용자 표시(user_seen)를 전체 관측 행으로 계산해, 쌍이 없는 사용자(v2 테스트 1,687명)가 학습되지 않은 임베딩으로 점수를 받았다(코드 결함). 감사 기록의 쌍 사용자 수도 실제 수가 아니었다.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점별·쌍별·목표 정렬 MLP는 학습 사용자 범위가 달라 ‘한 가지씩만 바꾼 비교’가 아니었는데 그렇게 썼고, 범위를 맞춘 비교(공통 학습 사용자)를 보고하지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관측 음성 쌍별 MLP도 미통과 시도가 없는 사용자는 미관측 단원을 음성으로 쓰는데(v2 테스트 스냅샷 쌍의 3.2%), ‘음성 = 시도했지만 미통과’라고만 적었다.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‘BCE가 미관측을 0으로 가정한다’(우리 MLP에는 해당 없음), ‘예측값이 0으로 붕괴’(데이터로 반박), ‘결과가 전혀 무효’(과장)는 정정했다. 나머지 요구(BPR 재학습)는 모두 수행했다.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etfrec/neural.py: train_mf_bpr(미관측 음성, 에폭마다 다시 추출, 설정 6개), fit_observed_model의 mlp9_bpr(관측 음성)·mlp9_bpru(미관측 음성 = 비판의 처방)·mlp9_next(주 w에 처음 통과한 단원 vs 그 주까지 통과하지 않은 단원).</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etfrec/signals.py next_week_pairs(기준 주 이전 로그만 사용), etfrec/zoo.py 기법군 MF_BPR·MLP_BPR·MLP_BPRU·MLP_NEXT, etfrec/pipeline.py 선택 대상과 QA(두 기준 주에서 각각 학습되었는지).</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노트북 재현(v1) 14개 수치는 새 기법군을 더해도 소수점 5자리까지 그대로다(scripts/regression_check.py). 이 문서의 ‘노트북 MLP’에 대한 서술은 노트북을 그 정도로 재현한 etfrec 구현을 근거로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사용자 범위(최종 검토 반영): 쌍별 MLP(관측·미관측 음성)도 쌍을 만든 뒤 학습 사용자·단원을 쌍 기준으로 다시 정한다. 쌍이 없는 사용자는 목표 정렬 MLP와 같이 콘텐츠 유사도 대체 점수를 받는다. 감사 기록에 쌍 사용자 수·쌍이 있는 단원 수를 남기고, QA pairwise_models_score_only_pair_users(학습 사용자 수 = 쌍 사용자 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행이 상한(train_max_rows)을 넘어 부분표본을 쓸 때도 쌍과 ‘미관측’ 음성 풀은 전체 행으로 만든다(etfrec/signals.py). 현재 번들은 상한보다 작아 영향이 없던 잠재 결함이다.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 범위: 각 쌍 비교를 전체 사용자와 네 MLP가 모두 학습한 사용자로 나눠 계산하고, 사용자군(공통 학습, 기록은 있지만 통과 없음, 기록 없음)별 차이를 함께 보고한다.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범위 한정: 새 신경망 변형은 하이브리드의 구성 신호로는 넣지 않았다. 단독 설정은 전역·인구통계 미사용·라우터 선택의 후보였지만 검증 점수가 낮아 선택되지 않았고, v1 재현은 그 결과로 유지된다(구조적 보장은 아니며 기본 테스트가 v1 핵심 값을 확인한다). BPR MF 설정은 6개(잠재요인 8·16·32 × 정규화 2)다.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3.1절에 기법별 손실·학습 행·음성 정의와 학습 사용자 범위를 적고, 6.3절에 전체·공통 학습 사용자 쌍 비교 표, 사용자군 분해, 해석을 넣었다.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아래 표(같은 테스트 사용자에 대한 사용자 단위 쌍 부트스트랩 95% 구간). ‘공통’은 네 MLP가 모두 학습한 사용자(v1 4,696명, v2 3,929명)이며, 한 가지만 바꾼 비교는 이 열이다.</w:t>
      </w:r>
    </w:p>
    <w:p>
      <w:pPr>
        <w:keepNext/>
        <w:spacing w:after="60" w:before="160"/>
      </w:pPr>
      <w:r>
        <w:rPr>
          <w:rFonts w:ascii="맑은 고딕" w:cs="맑은 고딕" w:eastAsia="맑은 고딕" w:hAnsi="맑은 고딕"/>
          <w:b/>
          <w:bCs/>
          <w:color w:val="1F6F55"/>
          <w:sz w:val="19"/>
          <w:szCs w:val="19"/>
        </w:rPr>
        <w:t xml:space="preserve">표 6. 신경망 변형의 쌍 비교(테스트 NDCG@5 차이; ‘공통’ = 네 MLP가 모두 학습한 사용자)</w:t>
      </w:r>
    </w:p>
    <w:tbl>
      <w:tblPr>
        <w:tblW w:type="dxa" w:w="9412"/>
        <w:tblBorders>
          <w:top w:val="single" w:color="BBBBBB" w:sz="6"/>
          <w:left w:val="none" w:sz="0"/>
          <w:bottom w:val="single" w:color="BBBBBB" w:sz="6"/>
          <w:right w:val="none" w:sz="0"/>
          <w:insideH w:val="single" w:color="DDDDDD" w:sz="4"/>
          <w:insideV w:val="none" w:sz="0"/>
        </w:tblBorders>
      </w:tblPr>
      <w:tblGrid>
        <w:gridCol w:w="2241"/>
        <w:gridCol w:w="1793"/>
        <w:gridCol w:w="1345"/>
        <w:gridCol w:w="1345"/>
        <w:gridCol w:w="1345"/>
        <w:gridCol w:w="1343"/>
      </w:tblGrid>
      <w:tr>
        <w:trPr>
          <w:tblHeader/>
        </w:trPr>
        <w:tc>
          <w:tcPr>
            <w:tcW w:type="dxa" w:w="22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비교(A − B)</w:t>
            </w:r>
          </w:p>
        </w:tc>
        <w:tc>
          <w:tcPr>
            <w:tcW w:type="dxa" w:w="17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바꾼 것</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전체</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공통</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전체</w:t>
            </w:r>
          </w:p>
        </w:tc>
        <w:tc>
          <w:tcPr>
            <w:tcW w:type="dxa" w:w="13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공통</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 − 표본 MF</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손실(가중 MSE → BPR)</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+0.0117 [+0.0064, +0.0165]</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+0.0137 [+0.0071, +0.0206]</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+0.0089 [+0.0038, +0.0138]</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+0.0122 [+0.0049, +0.0194]</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형태(학습 범위도 다름)</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+0.0215 [+0.0162, +0.0267]</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+0.0235 [+0.0172, +0.0299]</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−0.0195 [−0.0241, −0.0150]</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−0.0177 [−0.0231, −0.0114]</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 쌍별(관측 음성)</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음성 정의만(학습 범위 같음)</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+0.0316 [+0.0266, +0.0361]</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+0.0436 [+0.0374, +0.0499]</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+0.0115 [+0.0077, +0.0149]</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+0.0191 [+0.0128, +0.0253]</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비판이 처방한 BPR 전체</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+0.0531 [+0.0469, +0.0590]</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−0.0081 [−0.0123, −0.0037]</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 − MLP</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레이블을 평가 목표로</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+0.0418 [+0.0365, +0.0472]</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+0.0515 [+0.0443, +0.0588]</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−0.0074 [−0.0120, −0.0027]</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+0.0025 [−0.0036, +0.0089]</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쌍 없는 사용자에서 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콘텐츠 대체 vs 학습 임베딩</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+0.0331 [+0.0179, +0.0500] (860명)</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−0.0346 [−0.0464, −0.0225] (1,687명)</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r>
    </w:tbl>
    <w:p>
      <w:pPr>
        <w:spacing w:after="100"/>
      </w:pPr>
    </w:p>
    <w:p>
      <w:pPr>
        <w:pStyle w:val="Heading2"/>
        <w:keepNext/>
        <w:spacing w:after="120" w:before="260"/>
      </w:pPr>
      <w:r>
        <w:rPr>
          <w:rFonts w:ascii="맑은 고딕" w:cs="맑은 고딕" w:eastAsia="맑은 고딕" w:hAnsi="맑은 고딕"/>
        </w:rPr>
        <w:t xml:space="preserve">3.4 Diversity@5(주제가 다른 단원 쌍의 비율)의 타당성 (비판 2.3절)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3B6FB6"/>
          <w:sz w:val="21"/>
          <w:szCs w:val="21"/>
        </w:rPr>
        <w:t xml:space="preserve">긍정 평가(해석 보완)</w:t>
      </w:r>
      <w:r>
        <w:rPr>
          <w:rFonts w:ascii="맑은 고딕" w:cs="맑은 고딕" w:eastAsia="맑은 고딕" w:hAnsi="맑은 고딕"/>
          <w:color w:val="5D665D"/>
          <w:sz w:val="18"/>
          <w:szCs w:val="18"/>
        </w:rPr>
        <w:t xml:space="preserve">   (비판 문서 2.3절)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Diversity@5는 Ziegler 등(2005)의 ILS를 뒤집은 ILD와 정확히 일치한다 … 범주형 불일치를 거리로 차용한 것은 합리적이다 … 선수 가드레일이 같은 주제 심화 추천을 억제해 Diversity@5가 0.997로 치솟는 기계적 현상을 정확하게 포착하므로 다양성 평가 체계는 신뢰할 수 있다.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7. 비판 2.3절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Diversity@5는 ILD와 정확히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단원이 2개 이상일 때 같다. 2개 미만이면 ILD 식의 분모가 0이라 정의되지 않는데 코드는 0을 준다. 비판이 2.1절에서 문제 삼은 ‘정의되지 않는 값을 0으로’와 같은 관례다(현재 번들의 최소 목록 길이는 3이라 해당 행은 없다). 2차본 6.1절에 정의를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주제의 범주형 불일치를 거리로 쓰는 것은 합리적이다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주제는 22개로 서로 겹치지 않는다.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가드레일이 같은 주제 심화를 억제해 다양성이 0.997로 오른다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데이터로 확인했다. 꽉 찬 5개 목록만 봐도 0.940 → 0.997이고, 같은 주제 쌍이 있는 목록이 46.2% → 1.7%로 줄었다. 같은 주제에서는 수준 n−1이 항상 선수 단원이라 가드레일 아래에서는 주제마다 후보가 사실상 하나만 남는다. 1차본은 이 원인을 설명하지 않았다.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다양성 평가 체계는 신뢰할 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정의는 타당하다. 다만 모든 방법이 0.88~1.00으로 높아 변별력이 낮고, 주제 중복만 재며 수준 다양성은 재지 않는다.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6.6절: ‘선수 가드레일을 켜면 위반이 0이 되고 다양성이 0.997으로 오르지만 …’ (원인 설명 없음).</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다양성 상승을 결과로만 적고 원인을 분석하지 않았다. 대응서 초안에서는 상승의 일부를 ‘짧은 목록 효과’로 설명했는데, 지표는 표시된 단원 쌍만으로 계산하므로 목록이 짧다고 다양성이 오르지 않는다. 독립 검토가 목록 길이별로 다시 계산해 이 설명이 틀렸음을 보였고(짧은 목록 몫은 상승분의 약 3% 이하), 비판의 설명이 맞았다.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다양성 상승의 원인을 설명하지 않았고, 초안의 설명(짧은 목록)은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목록이 2개 미만일 때의 정의와 지표의 천장 효과를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없음(긍정 평가). 다만 ‘정확히 일치’는 단원 2개 이상일 때로 한정하고, 비판이 2.1절과 같은 관례(정의되지 않는 값을 0으로)를 여기서는 받아들인다는 점을 함께 적었다.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6.1절에 정의(2개 미만이면 0)를, 6.6절에 다양성 상승의 구조적 원인(같은 주제의 선수 사슬)과 지표의 한계를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보고서 데이터에 목록 길이별 다양성(diversity_by_len)을 추가해 수치로 확인할 수 있게 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가드레일 다양성 0.940 → 0.998(5개 목록 0.940 → 0.997).</w:t>
      </w:r>
    </w:p>
    <w:p>
      <w:pPr>
        <w:pStyle w:val="Heading2"/>
        <w:keepNext/>
        <w:spacing w:after="120" w:before="260"/>
      </w:pPr>
      <w:r>
        <w:rPr>
          <w:rFonts w:ascii="맑은 고딕" w:cs="맑은 고딕" w:eastAsia="맑은 고딕" w:hAnsi="맑은 고딕"/>
        </w:rPr>
        <w:t xml:space="preserve">3.5 온라인 A/B 테스트의 검정력과 현실적 한계 (비판 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수용(통계 표현 정정)</w:t>
      </w:r>
      <w:r>
        <w:rPr>
          <w:rFonts w:ascii="맑은 고딕" w:cs="맑은 고딕" w:eastAsia="맑은 고딕" w:hAnsi="맑은 고딕"/>
          <w:color w:val="5D665D"/>
          <w:sz w:val="18"/>
          <w:szCs w:val="18"/>
        </w:rPr>
        <w:t xml:space="preserve">   (비판 문서 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군당 6,949 ≈ 7,000명 산출은 무결하다 … 3개 군을 동시에 운영하면 약 21,000명이 필요하고 유입이 느리면 수개월로 장기화되어 외생 변수가 유의성을 심각하게 교란한다 … MDE를 3%p로 타협하거나, 나빠지지 않음만 증명해도 된다면 양측 대신 단측 검정(Z0.05 ≈ 1.64)으로 전환해야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8. 비판 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6,949 ≈ 7,000명 산출은 무결하다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정밀한 분위수로 계산하면 6,949.004명이라 올림하면 6,950명이다(1차본 ‘약 7,000명’).</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 2%p(상대 9.1%)를 80% 확률로 검출한다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공식의 의미 그대로다.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3개 군 동시 운영에 약 21,000명이 필요하다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보정 없이 20,850명이다. 대조군 대비 두 비교를 다중성 보정하면(비교마다 α=2.5%) 군당 8,416명, 합계 25,248명으로 더 많다.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유입이 느리면 테스트가 수개월로 길어진다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타당한 실행 위험이다. 1차본은 ‘가입 속도에 따라 4~8주’라고만 적고 필요한 하루 유입을 계산하지 않았다.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장기화하면 외생 변수가 유의성을 심각하게 교란한다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배정에서는 시장 충격이 두 군에 같이 작용하므로 효과 추정이 편향되지 않는다. 실제 문제는 분산 증가, 처치×시기 상호작용, 외적 타당성이다. 대책(코호트 층화·블록 분석)은 그대로 유효하다.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MDE를 3%p로 타협해 표본을 줄인다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3,135명으로 준다. 다만 참 효과가 2%p라면 검정력이 47%로 떨어진다는 대가를 함께 적어야 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검정으로 바꿔 표본을 줄인다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검정(군당 5,474명)은 ‘B가 A보다 낫다’만 검정한다. ‘나빠지지 않음’은 비열등성 검정이며 사전에 정한 마진이 필요하다. 참 차이 0을 가정하면 마진 1%p일 때 군당 21,219명으로 오히려 늘고, 2%p일 때 5,305명이다.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7.3절: ‘통과율 22% → 24%(+2%p) 검출, 유의수준 5%, 검정력 80% 기준 군당 약 7,000명. 가입 속도에 따라 4~8주’.</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표본 크기 공식에 집중하고 실행 가능성(필요 유입·기간·다중 비교·검정 방향)을 평가 계획의 일부로 보지 않았다. 2차본 초안에서도 비판의 ‘단측 검정 = 나빠지지 않음 확인’ 표현을 그대로 옮겼고, 대응서 초안에는 서로 다른 공식(연속성 보정 유무)으로 계산한 수치(3%p 약 3,200명, 4%p 약 1,850명)를 섞어 적었다. 독립 검토에서 발견해 같은 공식으로 다시 계산했다.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실행 계획(유입·기간·순서·중단과 판정 보류 규칙)이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지표가 사용자별 이진 결과인지 정의하지 않아 두 비율 Z-검정의 전제가 불분명했다.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검정 방향 설명과 대응서 초안의 수치가 틀렸다.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‘외생 변수가 유의성을 심각하게 교란’과 ‘단측 = 나빠지지 않음’은 정정했다. 실행 위험에 대한 지적의 본질은 모두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지표를 ‘노출 후 7일 안에 퀴즈를 1개 이상 통과한 사용자 비율’(사용자별 이진 결과)로 정의했다.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MDE 2·3·4%p × 양측·단측·비교 2개 보정의 군당 표본 표(6,950·3,135·1,789명 등)와 MDE 3%p의 검정력 대가를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고정 순서 검정: 1단계 A vs B를 α=5%로 검정해 귀무가설을 기각했을 때만 2단계 B vs C로 넘어간다(전체 1종 오류 5%). 2단계는 B·C에 신규 사용자를 새로 배정하고, 총 유입이 3군 동시 운영보다 많아진다는 대가를 명시했다.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비열등성 검정과 마진, 단측 검정의 사전 등록 조건, 단계별 기간 상한 8주와 필요한 하루 유입(2%p 약 249명, 3%p 약 112명), 상한 도달 시 ‘판정 보류’ 규칙, 1단계 대비를 고른 근거를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군당 표본(양측): 2%p 6,950 · 3%p 3,135 · 4%p 1,789명. 단측 2%p 5,474명. 비열등성(마진 1%p) 21,219명.</w:t>
      </w:r>
    </w:p>
    <w:p>
      <w:pPr>
        <w:pStyle w:val="Heading2"/>
        <w:keepNext/>
        <w:spacing w:after="120" w:before="260"/>
      </w:pPr>
      <w:r>
        <w:rPr>
          <w:rFonts w:ascii="맑은 고딕" w:cs="맑은 고딕" w:eastAsia="맑은 고딕" w:hAnsi="맑은 고딕"/>
        </w:rPr>
        <w:t xml:space="preserve">3.6 레버리지·인버스 ETP 기본예탁금 누락 (비판 4.1절)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KIFIN 사전교육 수강료 4,000원·약 1시간·이수증 등록은 현행과 정확히 일치한다 … 그러나 기본예탁금 제도를 완벽히 누락했다 … 최소 1,000만원(증권사 규정에 따라 1,500만원 이상) 예탁 자산(현금 및 대용증권)이 있어야 주문이 활성화된다 … 100만원으로 매수하면 즉시 거절된다 … ‘최초 거래 시 최소 1,000만원 이상의 기본예탁금 유지 의무’ 문구가 병기되어야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9. 비판 4.1절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KIFIN 4,000원·약 1시간·이수번호 등록은 현행과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 레버리지 ETP 과정 기준으로 맞다. 단일종목 레버리지·인버스는 2026년 8월부터 사전교육 총 3시간과 신규 투자자 모의거래 5시간이 더해졌다(비판 이후 바뀐 부분 포함).</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 제도를 완벽히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카드에는 ‘기본예탁금 요건은 거래 증권사 안내 확인’이라는 문구가 있었다. 그러나 금액과 ‘미달 시 주문이 들어가지 않는다’는 결과를 적지 않았으므로 실질적 누락이라는 지적은 맞다.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최소 1,000만원을 예탁해야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2020년 도입된 기본예탁금 1,000만원이다.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증권사 규정에 따라 1,500만원 이상으로 상향되기도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상장 레버리지 ETP는 등급별 금액이 증권사마다 다르다는 안내(1,500만원·3,000만원 등)를 확인했다. 국내 일반 규정의 상향 여부는 증권사 기준 확인으로 안내한다.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예탁 자산에 현금과 대용증권을 인정한다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단일종목 레버리지·인버스는 2026년 7월 31일부터 현금만 인정한다(대용증권 불인정, 신규·추가 매수 모두, 매도대금은 결제 후 인정). 일반 규정의 인정 자산은 증권사 기준 확인으로 안내한다.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교육만 마치고 100만원으로 매수하면 거절되는 UX 실패다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수용했다.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‘최초 거래 시 1,000만원 유지 의무’ 문구를 병기해야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더 정확한 조건으로 반영했다(아래).</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‘금융투자교육원(KIFIN) 레버리지 ETP 사전교육 이수(약 1시간, 평생 1회) 후 증권사에 이수번호 등록. 기본예탁금 요건은 거래 증권사 안내 확인. 단일종목 레버리지는 심화교육 추가.’</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사전교육은 금융투자교육원 자료로 확인했지만 예탁금은 확인하지 못한 채 ‘증권사 확인’으로 넘겼다. 확인하지 못한 사실을 비워 둘 것이 아니라 교육 흐름의 관문으로 명시했어야 했다. 2차본 초안에서도 단일종목형의 시행일(‘8월’, 실제 7월 31일 조기 시행)과 교육 시간(‘총 2시간’, 8월 이후 3시간 + 모의거래 5시간)을 낡은 정보로 적었다. 독립 검토가 지적했고 다시 검색해 확인했다.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유형의 진입 조건 설명이 불완전했다(교육만 있고 자본 요건이 없음).</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단일종목형 시행일·교육 시간·인정 자산 설명이 틀리거나 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기본예탁금 문항(q20)이 변동성 위험 단원에 연결되어, 소거법으로 쉽게 맞히면 위험 교육 단원이 ‘진단 통과’로 빠지는 역효과가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정답이 두 번째 보기에 몰려 있었다(1차본 16문항 중 13문항, 2차본 초안 20문항 중 17문항).</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 비판의 ‘1,500만원’·‘대용증권’ 서술은 범위를 나눠 정정했다.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etfrec/taxonomy.py LEVERAGE_RULES(기준일 2026-10-13): ① 사전교육과 이수번호 등록, ② 기본예탁금 1,000만원, ③ 단일종목형 현금 3,000만원·사전교육 총 3시간·신규 투자자 모의거래 5시간, ④ 해외 상장 레버리지 ETP 사전교육(2025-12-15)·기본예탁금(2026-05-22), ‘요건 미달 시 매수 주문이 들어가지 않음’. 카드 주의 사항 4개.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수준 3 단원 제목을 ‘변동성 장세의 레버리지 위험과 거래 요건(사전교육·기본예탁금)’으로 보강하고 학습 요점 본문을 붙였다(etfrec/lessons.py).</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q20은 규제 상식 문항이라 수준 판정에만 쓰고 단원을 통과 처리하지 않는다. 한 단원에 문항이 둘이면 둘 다 답하고 맞혀야 통과로 기록하고(하나를 건너뛰면 판정 보류), 수준별 최소 응답 수(수준 1은 5문항, 수준 2·3은 3문항)를 채우지 않은 수준은 판정하지 않는다. 정답 위치는 보기 네 자리에 다섯 개씩 나눴다. 테스트: 한 위치만 골라 찍으면 수준 1이 되는지, q20이 위험 단원을 건너뛰게 하지 않는지, 한 문항을 건너뛰면 단원이 통과되지 않는지, 몇 문항만 골라 답해 높은 수준이 나오지 않는지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출처 등록부(금융투자교육원)·README·중간보고서 2.2·2.4·5.4절·부록 B·C·F에 반영했다.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유형 카드 규제 문구 1줄(‘증권사 확인’) → 요건 4개와 기준일, 주의 사항 4개. 진단 퀴즈는 한 위치만 골라도 수준 1(1차본은 두 번째 보기만 골라도 대부분 정답).</w:t>
      </w:r>
    </w:p>
    <w:p>
      <w:pPr>
        <w:pStyle w:val="Heading2"/>
        <w:keepNext/>
        <w:spacing w:after="120" w:before="260"/>
      </w:pPr>
      <w:r>
        <w:rPr>
          <w:rFonts w:ascii="맑은 고딕" w:cs="맑은 고딕" w:eastAsia="맑은 고딕" w:hAnsi="맑은 고딕"/>
        </w:rPr>
        <w:t xml:space="preserve">3.7 ISA 계좌 누락과 IRP 위험자산 70% 한도 누락 (비판 4.2절)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수용(수치 정정)</w:t>
      </w:r>
      <w:r>
        <w:rPr>
          <w:rFonts w:ascii="맑은 고딕" w:cs="맑은 고딕" w:eastAsia="맑은 고딕" w:hAnsi="맑은 고딕"/>
          <w:color w:val="5D665D"/>
          <w:sz w:val="18"/>
          <w:szCs w:val="18"/>
        </w:rPr>
        <w:t xml:space="preserve">   (비판 문서 4.2절)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연금저축·IRP의 세액공제(연 900만원 한도)와 연금소득세(3.3~5.5%)를 다룬 것은 적절하다 … 그러나 ISA에 대한 언급과 연결 논리가 카탈로그 전체에서 누락되었다 … 순서는 ‘연금저축 → IRP → ISA’ 또는 ‘ISA 선납 후 연금 전환’ … ISA는 최대 400만원까지 전면 비과세, 초과분 9.9% 분리과세로 금융소득종합과세를 회피할 수 있는 유일한 대안 … 만기 자금을 연금계좌로 옮기면 10%(최대 300만원) 추가 세액공제 … ‘ISA와 연금계좌의 시너지’ 단원을 기초·핵심 로드맵에 편입해야 한다 … IRP 70% 한도를 생략해 주식형 100%를 유도하면 주문이 거부된다.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10. 비판 4.2절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세액공제 연 900만원·연금소득세 3.3~5.5%를 다뤘다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우리에게 유리한 쪽의 사실 오류다. 1차본에는 ‘한도 내 세액공제’, ‘연금소득세’라는 표현만 있고 숫자는 없었다. 2차본에서 숫자와 조건을 넣었다(연금저축 600만원·IRP 합산 900만원, 사적연금 연 1,500만원 이하 3.3~5.5%, 초과 시 종합과세 또는 16.5% 분리과세 선택).</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카탈로그 전체에서 누락되었다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21개 주제에 ISA 단원이 없었다.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순서는 ‘연금저축 → IRP → ISA’ 또는 ‘ISA 선납 후 연금 전환’이다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실무에서 쓰는 순서이며 제도가 정한 순서는 아니다. 비판 안에서도 ‘ISA를 가장 우선 채워야 한다’는 문장과 순서 제시가 엇갈린다. 학습 요점에는 두 방식을 소득·유동성에 따른 선택으로 적었다.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ISA는 최대 400만원까지 전면 비과세다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 일반형 200만원, 서민형·농어민형 400만원이다.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초과분은 9.9% 분리과세다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반영했다.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금융소득종합과세를 회피할 수 있는 유일한 대안이다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 수령 때 연금소득세로 과세되므로 ‘유일한’ 대안이 아니다.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자금을 연금계좌로 옮기면 10%(최대 300만원) 추가 세액공제를 받는다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후 60일 안에 옮길 때다.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단원을 기초·핵심 로드맵에 편입해야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연금·노후(핵심 2·심화 1), 장기 지수(핵심 1), 배당·인컴(핵심 1·심화 1), 분산·안정(심화 1)에 넣었다. 단기 매매 목적 템플릿에는 넣지 않았다(몇 달 안에 쓸 돈이 많아 의무가입 3년과 맞지 않음). 다른 목적이라도 투자 기간이 1년 미만이면 ISA 단원에 의무가입 기간 주의를 붙인다(최종 검토 반영: 처음에는 기간이 아니라 목적으로만 걸렀다).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 70% 한도를 생략하면 주식형 100% 주문이 거부된다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IRP는 위험자산 총투자한도 70%(계좌 평가액 기준)이고, 한도를 넘으면 위험자산 추가 매수가 제한된다. 카드 문구와 학습 요점에 넣었다.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연금계좌 카드 ‘연금저축·IRP 편입 가능(국내 상장), 과세이연 후 연금 수령 시 연금소득세’, 용어집 ‘납입액은 한도 내 세액공제’. ISA와 70% 한도는 어디에도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카탈로그를 수업 노트북의 20개 주제에서 물려받고 커버드콜 주제만 더했다. 세제를 ‘연금계좌’ 한 주제로 묶어 두고 절세 계좌 체계 전체(ISA·연금저축·IRP)의 커버리지를 점검하지 않았다. 2차본 초안에서도 배당·인컴 목적에 ISA 기초 단원을 ‘심화’ 단계에 두었고, 70% 한도의 ‘주문 거부’ 결과는 용어집에만 있고 카드에는 없었다(독립 검토로 발견).</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절세 계좌 교육의 커버리지와 IRP 투자 한도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ISA 배치와 카드 문구가 불완전했다.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ISA 2(유형·납입 한도) 단원의 선수 단원을 연금계좌로 둔 근거가 약했다(연금 지식은 ISA 3 전환 단원에만 필요).</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‘400만원 전면 비과세’와 ‘유일한 대안’은 정정했다. 요구는 모두 반영했다.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v2에 주제 ‘절세 계좌’ 3단원(ISA 계좌란: 비과세 한도와 분리과세 / ISA 유형·납입 한도·의무가입 기간 / ISA 만기 자금의 연금계좌 전환과 절세 순서)과 선수 관계(분배금 1 → ISA 1 → 2 → 3, ISA 3 ← 연금계좌 3), 출처·개념 태그를 넣었다. 단원 63 → 66개.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로드맵 템플릿과 목적 친화도에 ISA를 넣고(위 배치), 연금계좌 카드에 70% 한도·초과 시 매수 제한·연금저축펀드 무제한·세액공제·연금소득세 조건을, 국내주식형 카드에 ‘ISA 효과는 분배금에 한정’을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 4개(ISA 3단원, IRP 70%)와 진단 퀴즈 q17(ISA)·q19(IRP 70%), 자연어 파서의 ISA 키워드, 출처 등록부 주제를 추가했다.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카탈로그 63 → 66단원(22주제), 선수 관계 80개, 진단 퀴즈 16 → 20문항(18개 단원), 연금 로드맵 25단원·약 284분.</w:t>
      </w:r>
    </w:p>
    <w:p>
      <w:pPr>
        <w:pStyle w:val="Heading2"/>
        <w:keepNext/>
        <w:spacing w:after="120" w:before="260"/>
      </w:pPr>
      <w:r>
        <w:rPr>
          <w:rFonts w:ascii="맑은 고딕" w:cs="맑은 고딕" w:eastAsia="맑은 고딕" w:hAnsi="맑은 고딕"/>
        </w:rPr>
        <w:t xml:space="preserve">3.8 국내 상장 해외 ETF 과세의 ‘과표기준가’ 메커니즘 부재 (비판 4.3절)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국내 상장 해외주식형 ETF의 세금을 ‘매매차익·분배금 배당소득세 15.4%, 금융소득종합과세 대상’으로 정리한 것은 대원칙과 부합하고, 해외 직상장 ETF가 ‘연 250만원 기본공제 후 22% 양도소득세(분리과세)’를 적용받는다는 분류도 올바르다 … 그러나 과표기준가 메커니즘이 누락되었다: 실제 매매차익과 과표기준가 상승분 중 작은 금액에 15.4% … 단기 매매자에게 결정적이므로 ‘과표기준가와 매매차익의 딜레마’ 텍스트 콘텐츠를 신설해야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11. 비판 4.3절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15.4%·종합과세 서술은 대원칙과 부합한다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서술 그대로다.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‘연 250만원 공제 후 22% 분리과세’로 분류했다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1차본에는 ‘해외 상장 ETF는 양도소득세 22%’만 있었고 250만원 공제·손익통산·분리과세는 없었다. 2차본에서 퀴즈 해설·해외 주식형 카드·학습 요점에 넣었다.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메커니즘이 누락되었다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‘보유기간 과세’라는 용어만 있고 계산 기준이 없었다.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차익과 과표기준가 상승분 중 작은 금액에 15.4%가 붙는다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반영했다. 실제 이익이 있어도 과표기준가가 내렸으면 과세되지 않고, 계좌 밖에서는 손실을 다른 이익과 통산하지 못한다는 비대칭도 함께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투자자에게 결정적이다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템플릿의 심화 단계에 해외 ETF 세금 단원을 넣었다.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‘과표기준가와 매매차익의 딜레마’ 텍스트 콘텐츠를 신설해야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요점 본문(딜레마 ①·②, 계산 예시, 해외 직상장과의 차이)을 신설했다.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‘매매차익·분배금 배당소득세 15.4%(보유기간 과세), 연 금융소득 2,000만원 초과 시 종합과세’. 퀴즈 해설: ‘국내 상장 해외주식형·채권·원자재 ETF의 매매차익은 배당소득으로 15.4% 과세된다. 해외 상장 ETF는 양도소득세 22%다.’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세금 설명을 대부분의 요약 자료 수준(세율)에서 멈추고 과세 기준의 계산까지 내려가지 않았다. 2차본 초안은 단원 제목·퀴즈·카드 문구만 고쳐 ‘콘텐츠 신설’ 요구를 다 채우지 못했고, 단기 매매 템플릿에 넣지 않았으며, 국내 상장 ‘파생형’ 전체에 같은 규칙을 일괄 적용했다. 국내 레버리지·인버스는 상품 구성(장외 스와프 여부 등)에 따라 과세 여부가 달라 상품별 확인이 필요하다(독립 검토로 발견, 다시 검색해 정정).</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과세 기준(두 값 중 작은 금액)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반영 범위가 요구보다 좁았고 ‘파생형’ 일반화는 근거가 없었다.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 단원 제목 ‘해외 ETF 세금: 과표기준가·보유기간과세와 양도소득세’와 v2 전용 개념 태그(v1 재현용 태그는 그대로).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유형 카드 세금 문구(TAX_OTHER)에 계산 기준과 비대칭을, 레버리지·인버스 카드에 ‘상품 구성에 따라 과세 여부가 다르니 과세유형 공시 확인’을, 해외 주식형 카드에 해외 직상장 ETF의 양도소득세 체계를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본문(etfrec/lessons.py), 진단 퀴즈 q18 신설·q13 해설 보강, 단기 매매 템플릿 심화 단계에 해외 ETF 3 편입, 용어집.</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세금 단원 1개 보강과 본문 신설, 퀴즈 +1(같은 단원 두 문항은 둘 다 답하고 맞혀야 통과), 카드 문구 3종 보강.</w:t>
      </w:r>
    </w:p>
    <w:p>
      <w:pPr>
        <w:pStyle w:val="Heading2"/>
        <w:keepNext/>
        <w:spacing w:after="120" w:before="260"/>
      </w:pPr>
      <w:r>
        <w:rPr>
          <w:rFonts w:ascii="맑은 고딕" w:cs="맑은 고딕" w:eastAsia="맑은 고딕" w:hAnsi="맑은 고딕"/>
        </w:rPr>
        <w:t xml:space="preserve">3.9 KRX 정보데이터시스템 비공식 엔드포인트 호출(크롤링) (비판 5.1절)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수용(약관 조항 번호 미검증, 처방은 부분 수용)</w:t>
      </w:r>
      <w:r>
        <w:rPr>
          <w:rFonts w:ascii="맑은 고딕" w:cs="맑은 고딕" w:eastAsia="맑은 고딕" w:hAnsi="맑은 고딕"/>
          <w:color w:val="5D665D"/>
          <w:sz w:val="18"/>
          <w:szCs w:val="18"/>
        </w:rPr>
        <w:t xml:space="preserve">   (비판 문서 5.1절)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4.3절은 비공식 화면용 JSON 엔드포인트(getJsonData.cmd, bld=MDC/STAT/…)를 직접 호출해 파싱한다고 당당히 기술한다 … 이용약관 제6조·제7조의 크롤링·스크래핑 금지, ‘API 인증키의 담보 사용 및 일 10,000회 초과 호출’ 금지 … IP 차단을 유발한다 … 공공데이터포털 API(15094806, 15094775)가 합법적 통로이므로 KRX 직접 크롤링 모듈을 즉시 삭제하고 공공데이터포털 API 중심 ETL로 전면 이관해야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12. 비판 5.1절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비공식 엔드포인트를 직접 호출한다고 기술했다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4.3절의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이용약관 제6조·제7조, ‘일 10,000회 초과 호출 금지’</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 원문을 확인하지 못해 조항 번호와 횟수를 인용하지 않는다. 일 호출 한도는 인증키가 있는 Open API 쪽 조건일 가능성이 있어, 코드에 실행당 호출 상한과 호출 간격을 두고 키의 일 한도는 이용 조건으로 확인하도록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자동 주기 호출은 크롤링으로 간주되어 IP 차단을 유발한다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약관·서버 부하 측면의 위험 판단은 타당하다. ‘즉각적인 IP 차단’은 확인하지 못했다.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API가 합법적 통로다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서비스키 기반 공식 API다.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직접 크롤링 모듈을 즉시 삭제해야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삭제했고 테스트로 부재를 확인한다.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 중심 ETL로 전면 이관해야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시세는 공공데이터포털과 KRX Open API(인증키)로 받고 상장종목정보로 종목 코드를 교차 확인한다. 총보수·과세유형 같은 기본정보는 공공데이터포털에 있는지 확인하지 못해 사람이 직접 내려받은 파일을 정규화하는 경로를 유지했다.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4.3절: ‘KRX 정보데이터시스템 ETF 전종목 기본정보: 화면이 쓰는 JSON 엔드포인트(getJsonData.cmd, bld=MDC/STAT/standard/MDCSTAT04601)로 전종목 목록을 받아 …’. 4.5절: ‘KRX 데이터의 자동 수집은 개인 학습·연구 범위로 제한하고 대량 수집 전 이용 약관을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자동 수집의 편의를 약관 준수보다 앞에 두었고, 개발 환경에서 한국 기관 사이트에 접근할 수 없어 약관을 읽지 못한 채 ‘비공식’ 표시와 ‘대량 수집 전 약관 확인’이라는 유예 문장으로 넘어갔다. 2차본 초안에서도 Open API 응답을 정규화하면 종목명이 비어 레버리지 ETF가 시장대표형으로 분류되는 결함, ‘일 한도 준수’·‘Excel 지원’·‘괴리율 예시’처럼 코드가 뒷받침하지 않는 문구, 빈 결과를 ‘ok’로 기록하고 옛 파일을 오늘 날짜로 표시하는 문제가 있었다(독립 검토로 발견). 그 뒤 최종 검토에서도 수집 경로의 견고성 결함이 더 나왔다. 쓰는 도중 실패하면 스냅샷이 손상되는데도 ‘기존 파일 유지’로 기록했고, 키 끝의 줄바꿈 때문에 인증키 원문이 기록에 남는 경로가 있었으며, 형식 검사가 없어 다른 화면의 파일이 정상 스냅샷을 덮을 수 있었다(5절 [최종·데이터 수집]). 실패 경로(쓰기 실패·중단·잘못된 입력)를 시험하지 않고 정상 경로만 테스트했기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비공식 화면 엔드포인트의 자동 호출을 기본 수집 경로로 설계했다.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약관 확인을 미룬 채 ‘개인 학습·연구 범위’라는 문장으로 위험을 덮었다.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공식 API 경로에도 정규화 결함과 과장된 문구가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공식 경로도 비상업 이용 조건이라는 점(상용화 시 별도 이용 계약 필요)을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‘기존 스냅샷은 지우지 않는다’는 약속이 쓰기 도중 실패에는 지켜지지 않았고, 인증키와 로컬 경로가 기록·API로 새는 경로가 있었다(최종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약관 조항 번호와 ‘일 10,000회’는 검증하지 못해 인용하지 않았다. 처방 가운데 ‘전면 이관’은 위 이유로 부분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화면용 비공식 엔드포인트(getJsonData.cmd) 호출 코드를 삭제했다(저장소 코드에서 호출 0건). 자동 수집은 KRX Open API(인증키 AUTH_KEY 헤더)와 공공데이터포털 API(serviceKey)만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 전종목 기본정보는 이용자가 정보데이터시스템 화면에서 직접 내려받은 파일을 `sources sync --krx-csv 파일 [--krx-csv-date YYYYMMDD]`로 정규화한다. CSV는 UTF-8·cp949를 모두 읽고, Excel은 openpyxl·xlrd가 설치된 경우에만 읽으며 없으면 원인을 적어 fail로 기록한다(‘Excel 지원’ 문구를 코드와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Open API 정규화 결함을 고쳤다. ISU_CD는 ISIN 모양(KR로 시작하는 12자)일 때만 ISIN, 아니면 단축코드로 보고, 약명이 없으면 전체 이름에서 법정 꼬리를 떼어 이름으로 쓴다. 그래서 레버리지 ETF가 이름이 비어 시장대표형으로 분류되던 문제가 없어졌다. 추적배수 열이 있으면 파생형 판정에도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호출 정책: 클라이언트마다 실행당 호출 상한(기본 30회)과 호출 간격(1초)을 지키고 보낸 요청 수를 기록한다. ‘일 한도 준수’ 문구는 지우고, 인증키별 호출 한도는 제공처 이용 조건으로 확인한다고 고쳤다. 키가 없으면 요청을 하나도 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상태 기록: 0행 응답은 empty(휴장일·미공개 안내), 페이지 상한·빈 쪽으로 일부만 받으면 partial(멈춘 이유 기록), 호출 오류·형식 오류는 fail로 기록하고 기존 파일을 바꾸지 않는다. 기준일 기본값은 직전 평일이고, 공공데이터포털 시세는 totalCount까지 페이지를 넘겨 받는다.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신선도: provenance.json에 파일별 자료 기준일과 저장 시각을 남기고, 이번 실행에서 다시 쓰지 않은 파일은 이전 기록을 유지한다. 옛 파일을 오늘 날짜로 표시하던 문제를 없앴고, 30일이 지나면 화면 라벨에 경고한다.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파일과 기록은 임시 파일에 다 쓴 뒤 교체한다(쓰다가 실패해도 기존 스냅샷 유지). 파일마다 내용 해시를 기록하고 파일을 바꾼 직후 기록도 저장해, 실행이 끊겨도 파일과 기록이 어긋나지 않고 다르면 ‘기록 불일치’를 표시한다. 다른 화면의 파일·바뀐 필드 이름은 형식 검사로 거른다. 인증키는 환경변수로만 받고 오류 문구에서 가리며, API 응답에는 로컬 경로·오류 원문을 넣지 않는다. 일부만 받음 표시를 다음 실행에도 유지하고, 날짜 인자를 검사하고, CLI와 서버의 스냅샷 폴더 규칙을 맞추고, 샘플 파일을 패키지에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괴리율·거래량: 시세 스냅샷을 단축코드로 결합해 유형 카드에 괴리율 절댓값 중앙값과 거래량 중앙값을 시세 기준일과 함께 표시한다(‘괴리율 예시’ 문구를 실제 기능과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이용 범위: 등록부·README·화면·중간보고서에 비상업 수업 프로젝트 범위와, 상용화하려면 공공데이터포털 이용허락 범위 확인이나 KRX와의 별도 데이터 이용 계약이 필요하다는 점을 적었다. 접근 점검은 출처 루트마다 HEAD 1회, User-Agent는 프로젝트 이름을 그대로 밝힌다.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가짜 응답으로 요청 헤더·주소·파싱·페이지 넘김·상태·호출 상한·시세 결합을 검사하는 테스트 24건(tests/test_sources.py). 실제 호출은 개발 환경의 네트워크 제한으로 하지 못했고 키 발급 후 로컬에서 확인한다.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비공식 호출 코드 0줄. 공식 API 3종(KRX Open API 일별매매정보, 공공데이터포털 증권상품시세정보·KRX상장종목정보) + 사람이 내려받은 파일 정규화. 상태 7종·파일별 기준일·해시 기록, 원자적 교체·형식 검사·키 가림, 수집 테스트 24건.</w:t>
      </w:r>
    </w:p>
    <w:p>
      <w:pPr>
        <w:pStyle w:val="Heading2"/>
        <w:keepNext/>
        <w:spacing w:after="120" w:before="260"/>
      </w:pPr>
      <w:r>
        <w:rPr>
          <w:rFonts w:ascii="맑은 고딕" w:cs="맑은 고딕" w:eastAsia="맑은 고딕" w:hAnsi="맑은 고딕"/>
        </w:rPr>
        <w:t xml:space="preserve">3.10 가명정보 처리 가이드라인 위반 위험(k-익명성·망 분리 부재) (비판 5.2절)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수용(법령 수치 정정, k-익명화 범위 조정)</w:t>
      </w:r>
      <w:r>
        <w:rPr>
          <w:rFonts w:ascii="맑은 고딕" w:cs="맑은 고딕" w:eastAsia="맑은 고딕" w:hAnsi="맑은 고딕"/>
          <w:color w:val="5D665D"/>
          <w:sz w:val="18"/>
          <w:szCs w:val="18"/>
        </w:rPr>
        <w:t xml:space="preserve">   (비판 문서 5.2절)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4.5절은 ‘성별을 수집하되 운영 라우터에서 제외하며 가명 처리된 사용자 번호만 쓴다’며 개인정보 이슈가 해결된 것처럼 주장한다 … 2026년 3월 전면 개정된 금융위원회 및 개인정보보호위원회의 가명정보 처리 가이드라인에 비추어 단순 속성 삭제는 기준 미달이다 … 나이·소득분위·투자 목적·접속 시간대·테마 ETF 조회 로그가 결합되면 모자이크 효과로 재식별된다 … 전체 매출액의 최대 10% 징벌적 과징금(제64조의2 제1항 제6호)이 시행 중이다 … k-익명성을 로그 전처리에 필수로 넣어 일반화하고, 가명처리 부서와 모델 학습 부서의 망 분리와 개인정보 이노베이션 존에 준하는 접근 통제를 설계 문서에 명문화해야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13. 비판 5.2절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4.5절이 가명 번호·성별 제외로 해결된 것처럼 썼다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문장 그대로다(아래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금융위원회와 개인정보보호위원회가 가이드라인을 전면 개정했다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31일 위험도 기반으로 전면 개정된 것은 개인정보보호위원회의 가명정보 처리 가이드라인으로 확인했다. 금융위원회와의 공동 개정 여부는 확인하지 못했다.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단순 속성 삭제는 기준 미달이며 준식별자 결합으로 재식별될 수 있다(모자이크 효과)</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핵심 지적을 그대로 수용했다.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 매출액의 최대 10% 징벌적 과징금이 시행 중이다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 일반 상한은 전체 매출액의 3%(2023년 9월 시행)다. 10%는 2026년 3월 10일 공포·9월 11일 시행된 개정의 중대 위반 특례(고의·중과실 3년 안 반복, 1천만 명 이상 피해 등)다.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근거 조문은 제64조의2 제1항 제6호다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조문 번호를 원문으로 확인하지 못해 인용하지 않는다. 비판이 든 요건(재식별 가능성 인지 후 안전조치 미흡 등)도 검색으로 확인한 10% 요건과 다르다.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k-익명성을 로그 전처리에 필수로 넣어 일반화해야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범위를 나눠 반영했다. 공개·공유되는 산출물에는 일반화·억제로 k를 맞추는 비식별 내보내기와 학습 QA를 두고, 번들·API에서 원시 준식별자를 없앴다. 모델 학습 입력 자체를 일반화하는 것은 정확도와 맞바꾸는 결정이라 하지 않았고, 대신 가명정보를 접근 통제 환경에서만 처리한다는 원칙과 근거를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망 분리·권한 분리와 개인정보 이노베이션 존에 준하는 접근 통제를 명문화해야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코드로 강제할 수 없는 부분은 ‘조직 정책’으로 구분해 문서화했다(권한·망 분리, 반출 심사, 접근 기록 감사, 외부 결합·공유 때 이노베이션 존 수준 통제, 보관·삭제, 재식별 금지).</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4.5절: ‘학습 로그는 가명 처리된 사용자 번호만 쓰고, 성별은 수집하더라도 운영 라우터·운영 설정에서 제외하며 뒤집기 검사로 영향이 없음을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가명 번호와 성별 제외를 개인정보 대응의 전부로 보고, 준식별자 결합이라는 재식별 경로를 설계에서 다루지 않았다. 2차본 초안에서도 점검 대상과 실제 저장 대상이 달랐다. 감사는 구간화한 열을 재는데 번들·API·화면은 원시 연령·연소득과 분 단위 시각을 저장하고 보여 주었고, ‘라우팅 k=20 충족’은 실제 라우터 잎과 다른 조합의 결과였으며, 정책 문장을 ‘현재 번들’의 사실처럼 썼다(독립 검토로 발견). 최종 검토에서도 통제를 우회하는 경로가 나왔다. 운영 로그의 스키마 밖 열(외부 회원 ID·분 단위 시각·IP)이 번들에 그대로 남았고, 반출 표의 행 순서가 가명 번호와 같아 행 번호로 다시 결합되었으며, API로 작은 세그먼트 설정을 골라 특정인의 통과 단원을 알아낼 수 있었고, 숨긴 노드·셀은 함께 공개한 값의 차분으로 복원되었다(5절 [최종·개인정보]). 저장된 값만 점검하고 ‘내보낸 값들을 서로 조합하면 무엇이 나오는가’는 시험하지 않았기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개인정보 설계가 정책 문장에 머물고 측정·강제가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점검 대상이 실제 저장·노출 대상과 달랐고, 정책을 사실처럼 서술했다.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현재는 모의 데이터라 개인정보 처리가 없다는 점, 서비스 제공(동의·계약 근거 처리)과 가명정보 특례(통계·연구 재이용·결합·제공)의 구분을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최소화’·‘k-익명 반출’·‘작은 셀 비공개’가 각각 스키마 밖 로그 열·반출 행 순서·차분 때문에 실제로는 우회될 수 있었고, 인증 없는 학습자 조회 API와 임의 설정 번호 선택이 학습자 단위 정보를 내보냈다(최종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‘10%가 기본 상한인 것처럼 쓴 서술’과 조문 번호는 정정·미인용했다. 로그 전처리 단계에서 k-익명성으로 일반화하라는 요구는 공개·공유 산출물(반출 표·공개 집단표)로 범위를 좁혀 반영했고, 모델 학습 입력은 일반화하지 않았다(위 표 #6, 정확도와 맞바꾸는 결정). 망 분리·접근 통제 요구는 코드가 강제할 수 없어 조직 정책으로 문서화했다.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 번들 프로필·특징 저장소·learner_profiles.csv에서 원시 연령·연소득을 없애고 연령대·소득분위 구간만 남겼다. 모델 입력은 원래 구간 코드라 결과가 같다(v1 14개 값 5자리 일치를 다시 확인했고, 변경 전후 v1 결과 파일이 시간 열을 빼고 동일). 번들 로그는 주차·4개 시간대·주 안 순서(seq)만 남기고 일·분을 버린다.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API·화면: /api/learners와 학습자 상세는 구간 코드·이름만 반환한다. 기존 학습자를 새 학습자로 복사하면 입력란에 구간 대표값을 채우고 원값이 아니라고 표시한다. 저장 설계는 쓰기 전에 원값을 구간 코드로 바꾸고 자유 입력의 연령·소득 표현(예: 45세, 연봉 5,000만원)을 구간 이름으로 가린다.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감사 대상 정정: 저장된 준식별자 8개 조합 전체를 k=5로 감사한다(현재 번들: 5,273개 셀 중 k 미만 4,390개, 7,612명 = 50.7%). 2차본 초안의 ‘라우팅 k=20 충족’ 대신 실제 라우터 잎 크기를 잰다(운영 라우터 잎 288개 중 20명 미만 162개, 최소 1명, λ=∞). 추천 경로 출력은 20명 미만 노드의 정확한 n과 원시 평균을 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반출 k-익명화: export-deid는 일반화 계층을 한 단계씩 적용하고 남은 작은 셀을 국소 억제해 모든 셀이 5명 이상일 때만 파일을 쓴다(현재 번들: 일반화 8단계, 억제 43행, 삭제 0행 → 15,000/15,000행, 최소 셀 5명). 가명 번호·관심 주제·진단 수준은 내보내지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공개 집단표: group_results·advanced_exposure에서 5명 미만 집단을 빼고 활성 5명 미만이면 활성 기준 값을 비운다(현재 번들은 해당 행 0건, 최소 셀 359명).</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개인정보 검사 5건(원값·일분 비저장, 공개 셀 ≥ 5, 감사 열 누락 없음)을 번들 저장 전에 실행하고, 하나라도 실패하면 학습을 멈춘다(현재 5/5 통과).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가명처리 도구: `pseudonymize` 명령이 운영 원본의 외부 회원 ID를 HMAC-SHA256 가명과 연속 번호로 바꾼다. 키는 환경변수에서만 읽고(16자 미만이면 거부), 매핑표는 학습 입력 폴더 밖에만 쓰며, 로그의 일·분을 지운다.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정책 구분: manifest의 privacy.policy를 ‘코드로 강제되는 항목’(강제하는 코드·검사 이름 포함)과 ‘조직 정책’(권한·망 분리, 역할 분리, 반출 심사, 접근 기록 감사, 외부 결합 통제, 보관·삭제, 재식별 금지)으로 나눴다. 현재는 모의 데이터라 실제 개인정보를 처리하지 않는다는 점과, 서비스 제공(이용자 동의·계약 근거)과 가명정보 특례(통계 작성·과학적 연구·공익적 기록 보존 목적의 재이용)의 구분을 중간보고서 4.5절에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학습 입력의 스키마 밖 열(외부 회원 ID·분 단위 시각·IP 등)을 읽을 때 버리고 번들 로그는 허용 열만 남긴다(QA 확인). 반출 표는 반출 값으로 정렬해 원래 학습자 순서를 지운다. API로 고를 수 있는 기법은 화면의 기법 목록뿐이고(임의 설정 번호는 개발 모드), 학습자 조회 API는 로컬 실행에서만 기본으로 켠다. 경로 출력은 크기 구간만 보이고 원시 평균을 내보내지 않으며, 공개 집단표는 보완 억제를 한다. 저장 설계 가림을 설계 이름·모든 문자열·여러 표기·이벤트 시각으로 넓혔고, 매핑표 경로는 실제 경로로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개인정보 테스트 20건(tests/test_privacy.py)과 번들 전체 탐색(원시 연령·연소득 배열과 일·분 열이 어디에도 없음).</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p>
      <w:pPr>
        <w:pStyle w:val="Heading2"/>
        <w:keepNext/>
        <w:spacing w:after="120" w:before="260"/>
      </w:pPr>
      <w:r>
        <w:rPr>
          <w:rFonts w:ascii="맑은 고딕" w:cs="맑은 고딕" w:eastAsia="맑은 고딕" w:hAnsi="맑은 고딕"/>
        </w:rPr>
        <w:t xml:space="preserve">3.11 ‘실제 서비스 배포에 치명적 결함’이라는 총평 (비판 서론·결론)</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w:t>
      </w:r>
      <w:r>
        <w:rPr>
          <w:rFonts w:ascii="맑은 고딕" w:cs="맑은 고딕" w:eastAsia="맑은 고딕" w:hAnsi="맑은 고딕"/>
          <w:color w:val="5D665D"/>
          <w:sz w:val="18"/>
          <w:szCs w:val="18"/>
        </w:rPr>
        <w:t xml:space="preserve">   (비판 문서 서론·결론)</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통계적·알고리즘적·금융 도메인적·법률적 오류를 규명했다 … 네 가지 핵심 도메인(모의 로그 이벤트의 상호 배타성 정규화, BPR 손실과 활성 사용자 기준 NDCG, 세금·규제 콘텐츠 보강, k-익명성과 합법적 API)을 수정·내재화할 것을 강력히 권고한다.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14. 비판 서론·결론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프로젝트는 시의적절하고 학술·실무적으로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감사히 받는다.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서비스로 배포하기에는 결함이 다수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우리도 같은 입장이다. 중간보고서 6.7절에 실서비스 전 필요 조건(실제 로그 재평가, 원문 대조와 전문가 검수, 개인정보 법률 검토, 데이터 이용 조건의 상용 범위 확인)을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기술 통계에 산술적 모순이 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1절 참조(불수용).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산출이 기준선을 심각하게 왜곡한다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2.1절 참조. 방법 간 결론은 그대로였지만 집단 결론은 바뀌었다.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 함수 선택 오류로 비교의 공정성이 훼손되었다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참조. 같은 프로토콜이라 ‘공정성 훼손’은 아니지만 표준 기준선 부재와 근거 없는 인과 주장은 결함이었다.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기본예탁금·ISA를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4.1·4.2절 참조(수용).</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 위반 소지와 가명정보 대응 부족이 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5.1·5.2절 참조(수용).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가지 권고를 수정·내재화해야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BPR·활성 NDCG, 세금·규제 보강, 합법 API와 개인정보 보완은 반영했다. 이벤트 정규화는 생성기에 결함이 없어 생성기는 고치지 않고, 실제 로그와 화면 입력 경로에 정규화를 넣었다.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6.7절: ‘모의 데이터의 결과이므로 절대 수치는 실제 학습자 성과가 아니다.’ 4.1절: ‘학습 로그는 실제 서비스 로그가 생기기 전까지 규칙을 공개한 모의 데이터로 대체하고 …’.</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대응서 초안은 ‘실서비스 효과 검증이 아니다’를 1차본 문구처럼 인용했는데, 이는 화면 고지문이었다. 1차본의 실제 문장으로 바로잡았다.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1·2.1·2.2절을 ‘전제 오류’로 한데 묶었는데, 2.1절은 전제가 맞고 추론 일부만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‘도메인·법률 지적을 모두 반영했다’고 썼지만 당시에는 k-익명성이 점검 수준이었고 2차본에 옛 위험 문구가 남아 있었다.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동의하지 않는 부분은 배포 불가라는 판단이 아니라, 통계 항목을 ‘모순·왜곡’으로 규정한 부분이다.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 문서와 중간보고서 2차본(1절 요약, 6.7절 실서비스 전 필요 조건, 부록 E).</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w:t>
      </w:r>
    </w:p>
    <w:p>
      <w:r>
        <w:br w:type="page"/>
      </w:r>
    </w:p>
    <w:p>
      <w:pPr>
        <w:pStyle w:val="Heading1"/>
        <w:spacing w:after="160" w:before="360"/>
      </w:pPr>
      <w:r>
        <w:rPr>
          <w:rFonts w:ascii="맑은 고딕" w:cs="맑은 고딕" w:eastAsia="맑은 고딕" w:hAnsi="맑은 고딕"/>
        </w:rPr>
        <w:t xml:space="preserve">4. 불수용·정정 항목의 근거 정리</w:t>
      </w:r>
    </w:p>
    <w:p>
      <w:pPr>
        <w:keepNext/>
        <w:spacing w:after="60" w:before="160"/>
      </w:pPr>
      <w:r>
        <w:rPr>
          <w:rFonts w:ascii="맑은 고딕" w:cs="맑은 고딕" w:eastAsia="맑은 고딕" w:hAnsi="맑은 고딕"/>
          <w:b/>
          <w:bCs/>
          <w:color w:val="1F6F55"/>
          <w:sz w:val="19"/>
          <w:szCs w:val="19"/>
        </w:rPr>
        <w:t xml:space="preserve">표 15. 불수용·정정 항목</w:t>
      </w:r>
    </w:p>
    <w:tbl>
      <w:tblPr>
        <w:tblW w:type="dxa" w:w="9412"/>
        <w:tblBorders>
          <w:top w:val="single" w:color="BBBBBB" w:sz="6"/>
          <w:left w:val="none" w:sz="0"/>
          <w:bottom w:val="single" w:color="BBBBBB" w:sz="6"/>
          <w:right w:val="none" w:sz="0"/>
          <w:insideH w:val="single" w:color="DDDDDD" w:sz="4"/>
          <w:insideV w:val="none" w:sz="0"/>
        </w:tblBorders>
      </w:tblPr>
      <w:tblGrid>
        <w:gridCol w:w="3313"/>
        <w:gridCol w:w="1431"/>
        <w:gridCol w:w="4668"/>
      </w:tblGrid>
      <w:tr>
        <w:trPr>
          <w:tblHeader/>
        </w:trPr>
        <w:tc>
          <w:tcPr>
            <w:tcW w:type="dxa" w:w="33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주장</w:t>
            </w:r>
          </w:p>
        </w:tc>
        <w:tc>
          <w:tcPr>
            <w:tcW w:type="dxa" w:w="14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판단</w:t>
            </w:r>
          </w:p>
        </w:tc>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합(134,041) &gt; 시도(108,777)는 산술 모순이며 생성기 난수 로직 결함</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열은 한 시도의 다중 플래그. 차이 25,264 = 통과 24,187 + 저장 12,825 − 미완료·비이탈 11,748. 모순 행 0건을 QA로 상시 검증</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완료·통과가 동시에 성립하는 행이 있을 개연성</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이탈∧완료 0건, 통과∧¬퀴즈 0건(v1·v2 모두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10.2%의 고정된 희소성 제약</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값이며 생성기의 목표가 아님</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전이 확률 수정·세션 ID 기준 1NF 정규화 필요</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불수용(이미 충족)</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전이이고 로그는 시도 단위 한 행. 실데이터 경로에는 정규화 함수를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 배제가 확립된 표준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scikit-learn·TorchMetrics 기본 설정은 0점으로 포함. 관례가 갈리므로 두 기준을 병기</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노이즈로 신호를 희석</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사용자는 모든 방법에서 0이라 상수 배율이며 쌍 비교 차이는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A/B 효과 크기 추정을 오도</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통과율로 계산하며 NDCG와 무관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미관측 항목을 0(거절)으로 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불수용(표본 MF에는 해당)</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MLP는 관측 시도 행만 학습(음성 = 시도했지만 미통과). 표본 MF는 미관측 표본 0의 가중 MSE</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행 통과 비율 22.1%, 학습 손실 0.424 &lt; 상수 예측 0.528</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없이는 딥러닝 결과가 학술적으로 전혀 무효</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정정(BPR은 추가)</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프로토콜의 수업 레시피 성능으로는 유효. BPR 계열 4개를 추가해 범위를 넓힘</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외생 변수가 A/B 유의성을 심각하게 교란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배정이면 효과 추정은 편향되지 않음. 문제는 분산·처치×시기 상호작용</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 비열등성. 비열등성은 마진 필요(1%p면 군당 21,219명)</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세액공제 900만원·연금소득세 3.3~5.5%를 다룸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1차본에는 숫자가 없었음(2차본에서 추가)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최대 400만원 전면 비과세</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일반형 200만원, 서민형·농어민형 400만원</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금융소득종합과세를 회피할 유일한 대안</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연금소득세</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250만원 공제 후 22%로 분류</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‘양도소득세 22%’만 적음(2차본에서 공제·통산·분리과세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약관 제6조·제7조, 일 10,000회 초과 호출 금지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미검증(조치는 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원문 미확인으로 인용하지 않음. 비공식 호출 제거와 실행당 호출 상한은 실행</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가이드라인을 금융위원회와 개인정보보호위원회가 개정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2026-03-31 위험도 기반 전면 개정은 개인정보보호위원회 가이드라인으로 확인</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 매출액 최대 10% 과징금이 시행 중(제64조의2 제1항 제6호)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정정·미검증</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 상한 3%. 10%는 2026-03-10 공포·09-11 시행 개정의 중대 위반 특례. 조문 번호는 미확인</w:t>
            </w:r>
          </w:p>
        </w:tc>
      </w:tr>
    </w:tbl>
    <w:p>
      <w:pPr>
        <w:spacing w:after="100"/>
      </w:pPr>
    </w:p>
    <w:p>
      <w:pPr>
        <w:pStyle w:val="Heading1"/>
        <w:spacing w:after="160" w:before="360"/>
      </w:pPr>
      <w:r>
        <w:rPr>
          <w:rFonts w:ascii="맑은 고딕" w:cs="맑은 고딕" w:eastAsia="맑은 고딕" w:hAnsi="맑은 고딕"/>
        </w:rPr>
        <w:t xml:space="preserve">5. 독립 검토 결과의 반영</w:t>
      </w:r>
    </w:p>
    <w:p>
      <w:pPr>
        <w:spacing w:after="120" w:line="312" w:lineRule="auto"/>
        <w:jc w:val="both"/>
      </w:pPr>
      <w:r>
        <w:rPr>
          <w:rFonts w:ascii="맑은 고딕" w:cs="맑은 고딕" w:eastAsia="맑은 고딕" w:hAnsi="맑은 고딕"/>
          <w:sz w:val="21"/>
          <w:szCs w:val="21"/>
        </w:rPr>
        <w:t xml:space="preserve">판정과 보완 내용을 별도 검토자가 비판 문서·코드·데이터에 대조했다. 검토는 처음 판정이 틀렸거나 보완이 과장된 곳을 여러 군데 찾아냈고, 모두 고친 뒤 이 문서와 중간보고서에 반영했다. 아래 표는 검토 지적과 처리 결과다. [1회차]·[2회차]는 판정 검증, [최종]은 보완을 마친 뒤의 코드·문서 검토(모델·도메인·데이터 수집·개인정보·보고서 수치)다. 최종 검토에서 가장 큰 지적은 쌍별 MLP의 학습 사용자 범위 결함이었고, 고친 뒤 v2의 신경망 결론(2.2절)이 바뀌었다.</w:t>
      </w:r>
    </w:p>
    <w:p>
      <w:pPr>
        <w:keepNext/>
        <w:spacing w:after="60" w:before="160"/>
      </w:pPr>
      <w:r>
        <w:rPr>
          <w:rFonts w:ascii="맑은 고딕" w:cs="맑은 고딕" w:eastAsia="맑은 고딕" w:hAnsi="맑은 고딕"/>
          <w:b/>
          <w:bCs/>
          <w:color w:val="1F6F55"/>
          <w:sz w:val="19"/>
          <w:szCs w:val="19"/>
        </w:rPr>
        <w:t xml:space="preserve">표 16. 독립 검토 지적과 처리</w:t>
      </w:r>
    </w:p>
    <w:tbl>
      <w:tblPr>
        <w:tblW w:type="dxa" w:w="9412"/>
        <w:tblBorders>
          <w:top w:val="single" w:color="BBBBBB" w:sz="6"/>
          <w:left w:val="none" w:sz="0"/>
          <w:bottom w:val="single" w:color="BBBBBB" w:sz="6"/>
          <w:right w:val="none" w:sz="0"/>
          <w:insideH w:val="single" w:color="DDDDDD" w:sz="4"/>
          <w:insideV w:val="none" w:sz="0"/>
        </w:tblBorders>
      </w:tblPr>
      <w:tblGrid>
        <w:gridCol w:w="4668"/>
        <w:gridCol w:w="4744"/>
      </w:tblGrid>
      <w:tr>
        <w:trPr>
          <w:tblHeader/>
        </w:trPr>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검토 지적</w:t>
            </w:r>
          </w:p>
        </w:tc>
        <w:tc>
          <w:tcPr>
            <w:tcW w:type="dxa" w:w="474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처리</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[1회차·1절] 판정은 타당하나 비판의 수치만으로 모순이 아님을 보이는 산술 분해, ‘고정 희소성’ 반박, 점수 규칙(최댓값)과 반복 시도 합산 공개, 운영 로그·화면 입력 경로의 보장 범위가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3.1절과 중간보고서 4.4절에 넣었다. 화면 입력 경로의 이탈∧완료 결함과 운영 로그 정규화 부재는 코드로 고쳤다.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[1회차·2.1절] ‘편차 축소’는 절댓값 기준으로 사실이며, 신뢰구간 동일은 항등식이 아닌 경험적 확인이다. 집단 비교에서는 결론이 뒤집힌다(학습활동). 활성의 정의(후보 안 정답)가 비판의 정의와 다르다. ‘확립된 표준’은 과장이다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판정 문구를 고치고, 집단별 활성 열과 6.5절 정정, 활성 정의와 인원 차이(통과 기록 기준 vs 후보 기준) 공개, 구현 관례(scikit-learn·TorchMetrics) 근거를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[1회차·2.2절] 표본 MF는 BCE가 아니라 가중 MSE이고 0.0698은 관측 MF의 수치다. 관측 음성 쌍별 MLP는 비판의 BPR이 아니다. 목표 정렬 학습이 구현되지 않았다. 붕괴 주장 미대응. 신경망 변형이 하이브리드에 들어가지 않는 범위 한정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미관측 음성 BPR MLP와 목표 정렬 MLP를 구현해 쌍 비교했고, 그 결과 판정을 ‘부분 수용’에서 ‘대부분 수용’으로 올렸다. 손실·학습 행 정의를 문서화하고 범위 한정을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[2회차·2.3절] 다양성 상승을 ‘짧은 목록 효과’로 설명한 대응서 초안이 틀렸고, 2차본에 해석이 들어가지 않았다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목록 길이별로 다시 계산해 구조적 원인(같은 주제의 선수 사슬)으로 고쳤다. 정의(2개 미만 0)와 천장 효과도 적었다.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[2회차·3절] 대응서 초안의 수치(3,200·1,850)가 다른 공식에서 왔고, ‘단측 = 나빠지지 않음’ 혼동, 단계 배정의 진입 조건·총 유입, 다중 비교, 주 지표 정의, 검정력 대가, 외생 변수 전제가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같은 공식으로 다시 계산하고 7.3절을 다시 썼다(고정 순서 검정, 비열등성·마진, 유입·기간·판정 보류, 1단계 대비의 근거).</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[2회차·4.1절] 단일종목 3,000만원 시행일(7월 31일)·교육 시간(총 3시간+모의거래 5시간)·현금만 인정·해외 레버리지 ETP 예탁금 시점(5월 22일)이 틀리거나 낡았다. q20이 위험 단원을 건너뛰게 한다. 정답 위치가 몰려 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다시 검색해 문구를 고치고 기준일을 달았다. q20은 수준 판정 전용으로 바꾸고, 정답 위치 균형·단원 단위 채점과 테스트를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[2회차·4.2절] ISA 배치(배당·인컴에서 기초 단원이 심화), 같은 단원 두 문항의 중복 집계, 보고서의 낡은 숫자(63단원·16문항), 연금소득세 조건, 자연어 파서·출처 등록부 누락, ISA 2의 선수 관계, ‘유일한 대안’ 미정정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배치와 선수 관계를 고치고, 중복 집계를 없애고, 숫자를 데이터에서 읽게 바꾸고, 조건과 키워드·등록부를 보강하고, 정정표에 넣었다.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[2회차·4.3절] ‘딜레마’ 텍스트 콘텐츠가 신설되지 않았고, 단기 매매 템플릿에 없으며, ‘파생형’ 전체에 같은 규칙을 일반화했다. 수준 3 판정 문턱이 같은 단원 두 문항으로 낮아졌다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요점 본문을 신설하고, 단기 매매 템플릿에 넣고, 레버리지 과세를 상품별 확인으로 고치고, 수준 3 조건을 ‘서로 다른 주제 2개 이상 + 정답률 60%’로 바꿨다.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[2회차·5.1절] Open API 응답 정규화에서 종목명이 비어 분류가 틀린다. ‘일 한도 준수’·‘Excel’·‘괴리율 예시’ 문구를 코드가 뒷받침하지 않는다. 빈 결과를 ok로 기록하고 옛 파일을 오늘 날짜로 표시한다. 상용 범위가 빠졌다. 보고서에 옛 위험 문구가 남았다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5.1절 보완 내용의 코드 변경으로 고쳤다. 별도로 계획한 구현 검증은 실행되지 못했고, 그 역할은 최종 검토의 데이터 수집 점검이 맡았다(아래 [최종·데이터 수집] 행).</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[2회차·5.2절] 감사는 구간 열을 재는데 번들·API·화면은 원시 연령·연소득·분 단위 시각을 저장·노출한다. ‘라우팅 k=20 충족’은 실제 라우터 잎과 다른 조합이다. 일반화가 적용되지 않고 QA에 개인정보 검사가 없다. 정책을 사실처럼 썼다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5.2절 보완 내용의 코드 변경으로 고쳤다. 구현 검증의 역할은 최종 검토의 개인정보 점검이 맡았다(아래 [최종·개인정보] 행).</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[2회차·결론] 대응서 초안이 화면 고지문을 1차본 문구로 인용했고, 2.1절을 ‘전제 오류’로 묶었고, ‘모두 반영’을 과장했다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 원문으로 바꾸고 판정 근거를 나눠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쌍별 MLP가 쌍에 나오지 않은 사용자(학습 주에 통과가 없는 사용자)를 학습된 사용자로 표시해, 학습되지 않은 임베딩으로 점수를 매겼다. 그래서 점별·쌍별 MLP 비교는 한 가지만 바꾼 비교가 아니었고, v2의 ‘차이 없음’ 결론과 목표 정렬 MLP 해석이 이 처리에 좌우되었다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사용자를 쌍 기준으로 다시 정하고(쌍이 없는 사용자는 콘텐츠 대체 점수) QA를 추가한 뒤 v1·v2를 다시 학습했다. v2 전체 결론은 ‘유의하게 나빠짐’(−0.0081 [−0.0123, −0.0037])으로 바뀌었고, 공통 학습 사용자 비교(+0.0014 [−0.0038, +0.0058])와 사용자군 분해를 두 보고서에 넣었다. v1 결론은 그대로다(+0.0531 [+0.0469, +0.0590]).</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표 13이 QA에 없는 누수 검사·재현성 해시 비교·오프라인/온라인 일치를 QA 항목처럼 적었다. 학습 행을 부분표본할 때 ‘미관측’ 음성 풀이 부분표본 기준이라 실제로 시도한 단원이 음성으로 뽑힐 수 있었다(잠재 결함). 이벤트 정규화의 ‘고친 행 수’가 플래그 수정 건수의 합이었고, 한 행만 고쳐도 입력 점수 전체를 다시 계산했다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QA에 누수 검사(기준 주 이후 행을 섞어도 스냅샷 특징이 같음)와 쌍별 모델의 학습 범위 검사를 넣고(QA 116건), 표 13을 실제 QA 분류로 고쳤다. 재현성은 같은 seed로 v1·v2를 다시 학습해 결과 파일과 상태 해시가 같음을 확인했다. 쌍과 음성 풀은 전체 행으로 만들고, 고친 행은 행 단위로 세며 고친 행만 다시 채점한다.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민감도 실험의 ‘역전 확인’은 95% 구간이 0을 포함해 확인된 결과가 아니었고, 표의 ‘주당 퀴즈 통과’는 4주 합계였다. 표 4의 기법 설명(인기 점수, 세그먼트 인기 λ 격자, 규칙 부분, CF 격자, 검증 1위의 목적 일치 포함, 잎 최소 20명)과 6.1절의 학습 기간(테스트용 모델은 0~2주로 다시 학습)이 코드·선택 결과와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‘점 추정치는 역전되었지만 95% 구간이 0을 포함한다’로 고치고 열 이름을 바꿨다. 표 4·13과 6.1절을 설정 격자, 선택된 설정 이름, 실제 학습 기간에 맞췄다.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이 문서의 테스트 수(수집 수를 통과 수처럼 씀), 1차본 표본 MF 값(0.0687 → 0.0686), 그림 번호(그림 4·7 → 9·11)가 틀렸다. 중간보고서 6.5절의 목적 집단 1위는 전체 기준에서만 맞았다. ‘신경망 변형은 라우터 후보가 아님’은 사실과 달랐다(후보였지만 선택되지 않음)</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고쳤다. 테스트 수는 수집·통과·옵션을 나눠 적고, 목적 집단은 두 기준의 1위를 함께 적었다. 기본 테스트에 v1 핵심 값 회귀 검사를 넣었다.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‘레버리지 일일 복리’를 모든 목적의 필수 기초 개념이라고 썼지만 공통 필수 기초에는 ‘레버리지·인버스 ETF란’만 있었다(1차본부터). 페르소나 표의 로드맵 서술과 규모가 페르소나 설정이 아닌 공통 설정으로 계산되어 실제와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공통 필수 기초에 ‘일일 수익률 복리와 음의 복리 효과’를 넣고 다시 학습했다. 페르소나 표는 페르소나마다 목적·성향·기간·진단 답안으로 다시 계산했다(예: 페르소나 A 25단원).</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진단 퀴즈가 두 문항 단원에서 한 문항만 답해도 통과로 기록했고(과표기준가·IRP 70% 문항을 건너뛰어도 통과), 답한 문항 수에 하한이 없어 네 문항만 맞혀도 수준 3이 나왔다. 화면 배지와 로드맵 메모는 정답 수를 전체 20문항으로 나눠 다른 표시와 분모가 달랐다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단원 문항을 모두 답하고 맞혀야 통과(아니면 판정 보류), 수준별 최소 응답 수(5·3·3)를 넣고, 표시를 ‘정답/답한 문항(전체 20문항)’으로 통일했다. 각 경우를 테스트로 고정했다.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유형 카드의 ‘적합 목적’과 ‘이 목적에 권장’·로드맵 연결이 서로 다른 목록에서 나와 4개 유형에서 어긋났고, 안정 성향 학습자에게도 위험 5 유형(레버리지·인버스)에 ‘권장’이 붙었다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적합 목적을 로드맵 템플릿에서 파생해 한 원천으로 만들고, 안정 성향이면 위험 5 유형을 ‘학습용(권장 아님)’으로 표시한다. 일치 여부를 테스트한다.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자연어 파서가 ‘투자 경험 1~3년’을 3년 이상으로 읽고 경험 문구로 투자 기간까지 바꿨다(화면 예시 9개 중 4개, 그림 4 포함). 커버드콜 키워드가 없었고, ‘연금 ETF’가 ‘금 ETF’로, ‘6개월’이 요청 개수 6으로, ‘보수적’이 비용 주제로 읽혔다. 따옴표 뒤 다음 절의 ‘통과’까지 읽었고 ‘5,000만원’ 소득을 읽지 못했다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경험과 기간 표현을 분리하고 긴 표현을 먼저 찾게 했으며, 커버드콜 키워드·단어 경계·‘개월’ 제외·절 경계·쉼표 소득을 고쳤다. 예시 9개의 기대값 전체와 각 오탐을 테스트로 고정하고 그림 4를 다시 캡처했다.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용어집이 보유기간과세를 파생형 전체에 일괄 적용했고, ‘ISA 효과는 분배금에 한정’을 단정했으며, 확인 사실에 없는 수치(사전교육 ‘평생 1회’·‘과정별 4,000원’, 적격 TDF 한도 예외, 총보수 0.01~0.6%대)를 단정형으로 썼다. q20 해설과 학습 요점이 단일종목형의 날짜(7월 31일 현금 요건, 8월 19일 교육·모의거래)를 섞었고 해외 레버리지 ETP 예탁금의 ‘기존 거래자 제외’를 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용어집을 ‘해외주식형·채권·원자재(레버리지·인버스는 상품별 확인)’로 고치고, ISA 문구는 ‘주로 분배금’으로 낮추고 손익 통산 적용 여부를 원문 대조 목록에 넣었다. 출처 없는 수치는 지우거나 ‘금융사·기관 안내 확인’으로 낮췄고, 날짜를 나누고 빠진 조건을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원자재 키워드 ‘금’이 ‘금융’ ETF를 원자재로 분류했다. 투자 기간이 짧은 학습자에게 ISA 의무가입 기간 주의가 없었다(목적으로만 거름). 카탈로그 CSV의 선수 단원 ‘-1’이 마지막 단원을 가리켰고 순환 검사가 없었다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‘금현물·금선물·골드’ 같은 구체 키워드로 바꾸고 분류 테스트를 넣었다. 기간이 1년 미만이면 ISA 단원에 주의를 붙인다. 선수 단원은 범위 안의 다른 단원만 받고 순환을 검사한다.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스냅샷을 바로 덮어써서, 쓰는 도중 실패하면(디스크 가득 참·인코딩 오류) 기존 파일이 손상되는데도 ‘기존 파일 유지’로 기록했다. 데이터 파일과 provenance.json을 따로 저장해 중단되면 새 파일이 옛 기준일로 표시되었고, 다시 쓰지 않은 파일의 ‘일부만 받음’ 표시가 사라졌다. 형식 검사가 없어 다른 화면의 파일이나 필드 이름이 바뀐 응답이 정상 스냅샷을 덮었다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임시 파일에 다 쓴 뒤 교체하고, 파일마다 내용 해시를 기록하며 바꾼 직후 기록을 저장한다(끊기면 complete: false, 해시가 다르면 ‘기록 불일치’ 표시). 일부만 받음 표시를 승계하고, 형식 검사를 통과하지 못하면 fail(schema)로 기록하고 기존 파일을 지키며, 읽지 못하는 스냅샷은 샘플로 내려간다.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키 끝의 줄바꿈 때문에 KRX 인증키 원문이 오류 문구로 provenance.json과 터미널에 남는 경로가 있었고, 키를 명령줄 인자로도 받았다. API 응답에 로컬 절대 경로와 원시 오류 문구가 실렸다. 공공데이터포털의 오류 응답을 ‘0행·휴장일’로 기록했고, 짧은 쪽에서 멈추면서 멈춘 이유를 늘 ‘페이지 상한’으로 적었다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키는 앞뒤 공백을 지우고 형식을 검사하며 오류 문구에서 가린다. 키는 환경변수로만 받는다. API에는 라벨·기준일·상태 같은 필요한 필드만 보낸다. 응답 봉투를 검사하고, totalCount를 알면 짧은 쪽에서도 계속 받으며 멈춘 이유와 진행 상황을 기록한다.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샘플 CSV가 패키지 데이터에 빠져 설치본에서는 서버가 뜨지 않았다. CLI와 서버의 스냅샷 폴더 기본값이 달랐고 날짜 인자를 검사하지 않았다. ‘엔드포인트를 설정으로 바꿀 수 있다’는 사실이 아니었고, README 한계 절은 Excel 지원과 어긋났다. 이 문서의 5.1·5.2 행은 있지도 않은 ‘구현 검증 행’을 가리켰다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샘플을 패키지 데이터에 넣고 휠로 확인했다. 폴더 규칙을 하나로 맞추고(serve --sources-dir) 날짜는 실제 날짜만 받는다. 엔드포인트는 환경변수로 바꿀 수 있게 했고, README와 이 표의 참조를 고쳤다. 수집 테스트는 24건이다.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운영 로그를 train --data로 읽으면 외부 회원 ID·분 단위 시각·IP 같은 학습 스키마 밖 열이 번들 로그에 그대로 남았다(QA는 day·minute 이름만 봤고 감사는 프로필 열만 봤다). export-deid 표의 행 순서가 가명 번호와 같아(i행 = 학습자 i) 매핑표·학습자 표와 행 번호로 다시 결합되었다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입력을 읽을 때 스키마 밖 열을 버리고 이름을 데이터 요약에 남기며, 번들 로그는 허용 열만 남기고 QA가 ‘로그 열 ⊆ 허용 목록’을 확인한다. 감사는 로그 열과 서빙 학습자 표의 열까지 분류한다. 반출 표는 반출 값으로 정렬해 원래 순서를 지운다.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API가 설정 2,640개 중 아무 번호나 받아, 5변수 세그먼트 인기처럼 한 명뿐인 칸으로 계산되는 설정과 세그먼트 덮어쓰기로 특정인의 통과 단원을 그대로 얻을 수 있었다(검토자 재현 9명 중 9명). 인증 없는 학습자 조회 API가 기준 학습자 전원의 학습자 단위 표를 내보냈다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API로 고를 수 있는 기법을 화면의 기법 목록(기법군 1위·라우터)으로 제한하고 임의 설정 번호는 개발 모드·CLI에서만 받는다. 학습자 조회 API는 로컬 실행에서만 기본으로 켜고(다른 주소는 --expose-learners), 감사에 학습자 표의 확장 조합(준식별자 8개 + 학습 시간대 + 관심 주제) k를 기록하며(5명 미만 칸 100.0%), 서빙 API 접근 통제를 조직 정책에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추천 경로의 정확한 n·원시 평균, 공개 집단표와 방법별 합계의 차분으로 숨긴 노드·셀을 복원할 수 있었다. 저장 설계 가림이 설계 이름·목록 안 문장·‘45세 이상’·‘연소득은 7000만원’·‘1억 2천만원’·이벤트의 일·시·분을 놓쳤다. 매핑표 경로 검사가 심볼릭 링크로 우회되었고, 문서의 키 입력 예가 셸 기록에 키를 남겼다. 이 문서의 5.2절은 로그 k-익명화를 범위 조정했는데도 ‘요구는 모두 반영’이라고 썼다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경로 출력은 크기 구간만 보이고 원시 평균을 내보내지 않으며, 집단표는 한 변수에서 하나만 숨기면 하나를 더 숨긴다(보완 억제, QA 확인). 가림을 설계 이름·모든 문자열·여러 표기·이벤트 시각으로 넓혔다. 매핑표 경로는 실제 경로로 비교한다. 키 입력 예를 read -rs로 바꿨다. 5.2절 판정을 ‘수용(범위 조정)’으로 고치고 범위를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중간보고서 7.3절은 A/B 대조군 A를 ‘세그먼트 인기’로 정의해 놓고 1단계 대비 근거에는 전역 인기 값을 써서, 가드레일을 켠 운영 라우터(B)가 대조군보다 높은 것처럼 읽혔다. 실제 세그먼트 인기 설정은 테스트 주차에서 B보다 유의하게 높다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대조군 A(성별을 쓰지 않는 세그먼트 인기 설정 중 검증 1위)를 평가 전용 행으로 학습 결과에 넣고(서빙 기법 목록에는 넣지 않음, QA 116건) v1·v2를 다시 학습했다. 기존 결과는 모두 그대로다. 근거는 ‘오프라인 C &gt; A &gt; B, B − A −0.0091 [−0.0135, −0.0054]’로 고치고, 그래도 B를 먼저 시험하는 이유(선수 효과는 기록 재생으로 잴 수 없음)와 양측 검정을 주 비교로 두는 이유를 적었다.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중간보고서가 1차본을 ‘손실 함수가 아니라 목표 불일치’라고 인용했지만 1차본 원문은 ‘모델 결함이 아니라 목표 불일치’다. 생성기의 단원 선택 효용에 없는 ‘선수 미이수’ 항을 적었다. 그 밖에 그림 2의 ‘16문항·단원 21개’(1차본 값), 그림 12의 ‘후보 5개 미만’ 라벨(실제는 목록 5개 미만 비율), 표 번호 참조(표 19 → 표 20), 콜드스타트의 사용자 CF 점수, 후보 정의에 섞인 목록 후처리 규칙, 로드맵 우선순위(다음 단계가 아니라 이후 단계 0.7), 모든 라우터에 단조 증가로 쓴 λ 곡선, 일정표의 원인 분석 범위와 점별 점수 혼합 비교 누락, 두 표의 퀴즈 확장 목표 불일치, 다양성의 꽉 찬 목록 값, 페르소나 표의 단원 목록 누락, 누수 검사 범위, 2차본 표지 날짜가 틀렸다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고쳤다. 인용은 원문으로 바꾸고, 그림 문구·페르소나 단원 목록·퀴즈 확장 목표는 데이터에서 생성하며, 표 번호를 실제 표에 맞췄다. 2차본 표지는 제출일 2026년 10월 19일(1차본 10월 13일)로 고쳤다.</w:t>
            </w:r>
          </w:p>
        </w:tc>
      </w:tr>
    </w:tbl>
    <w:p>
      <w:pPr>
        <w:spacing w:after="100"/>
      </w:pPr>
    </w:p>
    <w:p>
      <w:pPr>
        <w:pStyle w:val="Heading1"/>
        <w:spacing w:after="160" w:before="360"/>
      </w:pPr>
      <w:r>
        <w:rPr>
          <w:rFonts w:ascii="맑은 고딕" w:cs="맑은 고딕" w:eastAsia="맑은 고딕" w:hAnsi="맑은 고딕"/>
        </w:rPr>
        <w:t xml:space="preserve">6. 보완 전후 비교</w:t>
      </w:r>
    </w:p>
    <w:p>
      <w:pPr>
        <w:keepNext/>
        <w:spacing w:after="60" w:before="160"/>
      </w:pPr>
      <w:r>
        <w:rPr>
          <w:rFonts w:ascii="맑은 고딕" w:cs="맑은 고딕" w:eastAsia="맑은 고딕" w:hAnsi="맑은 고딕"/>
          <w:b/>
          <w:bCs/>
          <w:color w:val="1F6F55"/>
          <w:sz w:val="19"/>
          <w:szCs w:val="19"/>
        </w:rPr>
        <w:t xml:space="preserve">표 17. 보완 전후 비교</w:t>
      </w:r>
    </w:p>
    <w:tbl>
      <w:tblPr>
        <w:tblW w:type="dxa" w:w="9412"/>
        <w:tblBorders>
          <w:top w:val="single" w:color="BBBBBB" w:sz="6"/>
          <w:left w:val="none" w:sz="0"/>
          <w:bottom w:val="single" w:color="BBBBBB" w:sz="6"/>
          <w:right w:val="none" w:sz="0"/>
          <w:insideH w:val="single" w:color="DDDDDD" w:sz="4"/>
          <w:insideV w:val="none" w:sz="0"/>
        </w:tblBorders>
      </w:tblPr>
      <w:tblGrid>
        <w:gridCol w:w="1618"/>
        <w:gridCol w:w="2353"/>
        <w:gridCol w:w="3088"/>
        <w:gridCol w:w="2353"/>
      </w:tblGrid>
      <w:tr>
        <w:trPr>
          <w:tblHeader/>
        </w:trPr>
        <w:tc>
          <w:tcPr>
            <w:tcW w:type="dxa" w:w="16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항목</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1차본(10월 13일)</w:t>
            </w:r>
          </w:p>
        </w:tc>
        <w:tc>
          <w:tcPr>
            <w:tcW w:type="dxa" w:w="308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2차본(현재)</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비고</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63단원(21주제)</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66단원(22주제), 선수 관계 80개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계좌(ISA) 3단원 신설, 세제·규제 단원 3개 제목 보강</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콘텐츠</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제목·출처 링크</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세제·규제 6단원 학습 요점 본문(기준일·예시·출처)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3, 과표기준가, IRP 70%, 레버리지 거래 요건</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진단 퀴즈</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16문항, 정답 13개가 두 번째 보기</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20문항(18개 단원), 정답 위치 균형, 단원 단위 채점(단원 문항을 모두 답하고 맞혀야 통과), 수준별 최소 응답 수</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규제 상식 문항은 수준 판정에만 사용</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2,631개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2,640개</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MF 6 + 신경망 변형 3</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오프라인 지표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NDCG@5(전체 기준)만</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전체·활성 기준 병기 + 항등식·순위 QA, 집단별 두 기준</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3,542명 / 전체 6,544명</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일치+투자 목적 일치]</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카탈로그가 바뀌어 검증 1위가 달라짐</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NDCG@5</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0.1343(전체)</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0.1338(전체) / 0.2471(활성)</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세계가 달라 직접 비교 불가</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가드레일 비용</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0.033 감소, 짧은 목록 52.5%</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0.026 감소, 짧은 목록 52.0%</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위반 63% → 53%(가드레일 끔)</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신경망 최고(v2)</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0.0734</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0.0858</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v1에서는 미관측 음성 BPR로 MLP 0.05325 → 0.10638</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수집</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화면용 비공식 JSON 자동 호출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사람이 내려받은 파일 정규화 + KRX Open API(인증키) + 공공데이터포털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provenance 정책·해시 기록, 원자적 교체·형식 검사·키 가림, 비상업 범위 명시</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개인정보</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가명 번호·성별 제외 정책 문장</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5.2절</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 규제 문구</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사전교육만</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 + 기본예탁금(1,000만/단일종목 현금 3,000만) + 교육 3시간·모의거래 + 해외 레버리지 ETP</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기준일 표기</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계획</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약 7,000명, 4~8주</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MDE·검정 방향 표, 고정 순서 검정, 유입·기간·판정 보류 규칙</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단측·비열등성 구분</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 테스트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80건, 테스트 23건</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116건, 테스트 87건(기본 실행 86건 통과, 전체 재현 1건 옵션)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논리·항등식·신경망 학습 범위·누수·도메인 규칙·수집 정책·개인정보 검사 추가</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진단(재학습 후 새로 드러난 점)</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심화 노출 격차 약 4%p(충족), 목적별 구간 겹침</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변수 안 심화 노출 격차 최대 소득분위 0.132(기준 5%p 초과)</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비판의 지적은 아니지만 재학습 결과를 그대로 보고하고 11월 과제로 넣음(중간보고서 6.5·7.5절)</w:t>
            </w:r>
          </w:p>
        </w:tc>
      </w:tr>
    </w:tbl>
    <w:p>
      <w:pPr>
        <w:spacing w:after="100"/>
      </w:pPr>
    </w:p>
    <w:p>
      <w:pPr>
        <w:spacing w:after="120" w:line="312" w:lineRule="auto"/>
        <w:jc w:val="both"/>
      </w:pPr>
      <w:r>
        <w:rPr>
          <w:rFonts w:ascii="맑은 고딕" w:cs="맑은 고딕" w:eastAsia="맑은 고딕" w:hAnsi="맑은 고딕"/>
          <w:sz w:val="21"/>
          <w:szCs w:val="21"/>
        </w:rPr>
        <w:t xml:space="preserve">주의: 카탈로그가 63단원에서 66단원으로 바뀌고 생성기가 새 단원과 선수 관계를 포함해 세계를 다시 만들었으므로, 1차본과 2차본의 절대 수치는 같은 세계의 비교가 아니다. 방법 간 큰 순서(규칙 ≈ 운영 라우터 &gt; 인구통계 미사용 &gt; 인기·사용자 CF &gt; 신경망·아이템 CF·콘텐츠 &gt; 무작위)는 두 번들에서 같다.</w:t>
      </w:r>
    </w:p>
    <w:p>
      <w:pPr>
        <w:pStyle w:val="Heading1"/>
        <w:spacing w:after="160" w:before="360"/>
      </w:pPr>
      <w:r>
        <w:rPr>
          <w:rFonts w:ascii="맑은 고딕" w:cs="맑은 고딕" w:eastAsia="맑은 고딕" w:hAnsi="맑은 고딕"/>
        </w:rPr>
        <w:t xml:space="preserve">7. 남은 한계와 후속 계획</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세제·규제 문구와 학습 요점은 검색으로 확인한 범위다. 최종 보고서 전에 법령·기관 공지 원문(금융위원회 보도자료, 국세청 안내, 금융투자교육원 공지, 한국거래소 공지, 개인정보보호위원회 가이드라인)을 직접 대조하고 전문가 검수를 받는다(11월 2주).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KRX Open API와 공공데이터포털 API의 경로·필드명은 키 발급 후 실제 응답으로 확인한다(11월 1주). 공식 경로도 비상업 이용 조건이므로 상용 서비스로 바꿀 때는 별도 이용 계약이 필요하다.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신경망은 v1에서는 BPR(미관측 음성)로 크게 좋아졌지만(+0.0531 [+0.0469, +0.0590]), v2에서는 네 MLP가 모두 학습한 사용자로 좁히면 유의한 차이가 없었고(+0.0014 [−0.0038, +0.0058]) 전체 사용자로는 쌍이 없는 사용자의 대체 점수 때문에 유의하게 나빠졌다(−0.0081 [−0.0123, −0.0037]). 쌍이 없는 사용자에게 점별 점수를 섞는 처리, 공통 학습 사용자에서 차이가 없던 원인(규칙 신호와의 정보 중복 가설), 목적·로드맵 특징을 입력으로 넣은 모델을 11월 3주에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k-익명성은 공개·공유 산출물에 적용하고 학습 입력에는 적용하지 않았다. 실제 로그에서는 접속 시간대·조회 주제까지 준식별자에 넣어 다시 평가하고, 고차원 행동 로그는 k-익명성만으로 다루기 어렵다는 한계(l-다양성 등)를 위험도 평가 절차에 반영한다.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본문은 세제·규제 6단원에만 있다. 나머지 단원은 교육 자료 링크로 연결하고, 본문 확장과 문항 확장(진단 단원 18개 × 단원당 2문항 = 36문항)은 11월에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가드레일의 짧은 목록 비율이 수용 기준(20% 이하)을 넘는다. 실제 로그로 선수 페널티를 보정한 뒤 완화 규칙을 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재학습 결과 집단 진단에서 새 과제가 드러났다. 심화·레버리지 노출 비율이 소득분위에 따라 최대 0.132 차이 나고, 투자 목적 가운데 배당·인컴 수취 집단의 정확도가 가장 낮다(전체 기준 0.112). 비판의 지적 사항은 아니지만 숨기지 않고 중간보고서 6.5·7.5절에 그대로 보고했으며, 원인 분석과 노출 상한 정책을 11월 4주에 다룬다.</w:t>
      </w:r>
    </w:p>
    <w:p>
      <w:r>
        <w:br w:type="page"/>
      </w:r>
    </w:p>
    <w:p>
      <w:pPr>
        <w:pStyle w:val="Heading1"/>
        <w:spacing w:after="160" w:before="360"/>
      </w:pPr>
      <w:r>
        <w:rPr>
          <w:rFonts w:ascii="맑은 고딕" w:cs="맑은 고딕" w:eastAsia="맑은 고딕" w:hAnsi="맑은 고딕"/>
        </w:rPr>
        <w:t xml:space="preserve">부록 A. 사실 확인 출처</w:t>
      </w:r>
    </w:p>
    <w:p>
      <w:pPr>
        <w:keepNext/>
        <w:spacing w:after="60" w:before="160"/>
      </w:pPr>
      <w:r>
        <w:rPr>
          <w:rFonts w:ascii="맑은 고딕" w:cs="맑은 고딕" w:eastAsia="맑은 고딕" w:hAnsi="맑은 고딕"/>
          <w:b/>
          <w:bCs/>
          <w:color w:val="1F6F55"/>
          <w:sz w:val="19"/>
          <w:szCs w:val="19"/>
        </w:rPr>
        <w:t xml:space="preserve">표 18. 사실 확인 목록</w:t>
      </w:r>
    </w:p>
    <w:tbl>
      <w:tblPr>
        <w:tblW w:type="dxa" w:w="9412"/>
        <w:tblBorders>
          <w:top w:val="single" w:color="BBBBBB" w:sz="6"/>
          <w:left w:val="none" w:sz="0"/>
          <w:bottom w:val="single" w:color="BBBBBB" w:sz="6"/>
          <w:right w:val="none" w:sz="0"/>
          <w:insideH w:val="single" w:color="DDDDDD" w:sz="4"/>
          <w:insideV w:val="none" w:sz="0"/>
        </w:tblBorders>
      </w:tblPr>
      <w:tblGrid>
        <w:gridCol w:w="1029"/>
        <w:gridCol w:w="4559"/>
        <w:gridCol w:w="3824"/>
      </w:tblGrid>
      <w:tr>
        <w:trPr>
          <w:tblHeader/>
        </w:trPr>
        <w:tc>
          <w:tcPr>
            <w:tcW w:type="dxa" w:w="10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항목</w:t>
            </w:r>
          </w:p>
        </w:tc>
        <w:tc>
          <w:tcPr>
            <w:tcW w:type="dxa" w:w="45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확인한 사실</w:t>
            </w:r>
          </w:p>
        </w:tc>
        <w:tc>
          <w:tcPr>
            <w:tcW w:type="dxa" w:w="38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출처(2026-10-13~14 검색)</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etf_market</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2025년 말 국내 상장 ETF 1,058종목, 순자산총액 297조 2천억 원(전년 대비 71% 증가); 2025년 7월 1,000종목 돌파</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https://www.sidae.com/article/2025123016143338248 ; https://www.heraldk.com/article/2025072215004989760</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leverage_deposit</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레버리지·인버스 ETP 기본예탁금 1,000만원(2020년 도입). 단일종목 레버리지·인버스는 2026년 7월 31일부터 현금 3,000만원(대용증권 불인정, 매도대금은 결제 후 인정, 신규·추가 매수 모두; 당초 8월 5일 예정에서 앞당김), 2026년 8월 19일부터 사전교육 총 3시간(기본 1 + 심화 2)과 신규 투자자 한국거래소 모의거래 5시간(5거래일 이상, 하루 1시간 이상). 해외 상장 레버리지 ETP는 사전교육 의무 2025년 12월 15일, 기본예탁금 1,000만원 2026년 5월 22일(기존 거래자 제외, 인버스 포함 여부·등급별 금액은 증권사마다 다름)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https://www.korea.kr/news/policyNewsView.do?newsId=148968739 ; https://www.fntimes.com/html/view.php?ud=2026072409284082340f4390e77d_18 ; https://biz.sbs.co.kr/article/20000325011 ; https://www.hankyung.com/article/202608127524i ; https://www.mt.co.kr/stock/2026/08/12/2026081216322792259 ; https://biz.heraldcorp.com/article/10742195 ; https://securities.miraeasset.com/bbs/board/message/view.do?categoryId=66&amp;messageId=2339923</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kifin</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금융투자교육원 레버리지 ETP 사전교육(일반 과정) 약 1시간·4,000원, 수료 후 증권사에 이수번호 등록. 단일종목 레버리지·인버스 심화교육은 2026년 5월 22일 1시간으로 시작해 8월 기준 2시간(총 3시간)</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https://www.kifin.or.kr ; https://www.kbsec.com/go.able?linkcd=s060901010000&amp;seq=10009835&amp;idt=20260512 ; https://www.hankyung.com/article/202608127524i</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 비과세 한도 일반형 순이익 200만원·서민형/농어민형 400만원, 초과분 9.9% 분리과세, 연 2,000만원·총 1억원 납입, 의무가입 3년, 만기 60일 안에 연금계좌 전환 시 전환금액의 10%(최대 300만원) 추가 세액공제 한도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https://korea-rich.kr/isa-%EA%B3%84%EC%A2%8C-%EB%B9%84%EA%B3%BC%EC%84%B8-%ED%95%9C%EB%8F%84-%EC%96%BC%EB%A7%88-200%EB%A7%8C%EC%9B%90%C2%B7400%EB%A7%8C%EC%9B%90-%EC%A1%B0%EA%B1%B4-2026-%EC%B4%9D%EC%A0%95%EB%A6%AC/ ; https://www.financecoffeechat.com/tax/isa-guide ; https://bileotools.com/blog/isa-account-2026-guide</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IRP(퇴직연금) 위험자산 총투자한도 70%(계좌 평가액 기준, 30% 이상 안전자산, 초과 시 위험자산 추가 매수 제한), 연금저축펀드는 한도 없음; 세액공제 연금저축 600만원·IRP 합산 900만원; 사적연금 연 1,500만원 이하 수령 시 연금소득세 3.3~5.5%, 초과 시 종합과세 또는 16.5% 분리과세 선택; 70% 한도 완화는 2026년 논의 중</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https://wikidocs.net/blog/@Insight_Lab/32343/ ; https://www.kbsec.com/go.able?linkcd=s080400070100 ; https://investpension.miraeasset.com/m/contents/view.do?idx=20427 ; https://kbam.co.kr/fund/pension/guide/pension-withdrawal-income-tax-guide-15-million-threshold ; https://kbthink.com/main/asset-management/pension-n-old-age/kb-goldenlife/kb-goldenlife-240112.html ; https://www.heraldk.com/article/2026062318205779499</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tax_base_price</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국내 상장 해외주식형·채권·원자재 ETF 매매차익은 보유기간과세: 실제 매매차익과 과표기준가 상승분 중 작은 금액에 15.4% 배당소득세; 국내 상장 레버리지·인버스는 상품 구성(장외 스와프 여부 등)에 따라 매매차익 과세 여부가 달라 상품별 과세유형 확인; 해외 거래소 상장 ETF는 연 250만원 기본공제 후 22% 양도소득세(손익통산, 분리과세)</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https://kbam.co.kr/insights/guide/etf-tax-guide-domestic-vs-other-types ; https://www.samsungfund.com/etf/insight/guide/view05.do ; https://www.ajunews.com/view/20231109161338226 ; https://v.daum.net/v/20251219152204458</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privacy_law</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개인정보보호법 과징금 일반 상한은 전체 매출액의 3%(2023년 9월 시행). 2026년 3월 10일 공포·9월 11일 시행된 개정으로 고의·중과실로 3년 안에 위반을 반복하거나 1천만 명 이상 피해를 내는 등 중대한 경우 최대 10%(위반과 무관한 매출 제외; 조문 번호는 원문 확인 전). 개인정보보호위원회 가명정보 처리 가이드라인은 2026년 3월 31일 위험도 기반 체계로 전면 개정</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https://www.newsis.com/view/NISX20260309_0003540588 ; https://shinkim.com/kor/media/newsletter/3167 ; https://www.shinkim.com/kor/media/newsletter/pdf/3319 ; https://newsseoul.co.kr/news/view/1065587420951193 ; https://m.boannews.com/html/detail.html?idx=121977</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krx_openapi</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 Open API: openapi.krx.co.kr에서 인증키 발급·서비스별 이용 신청, 비상업적 이용·재배포 금지·출처 표기 조건; 정보데이터시스템 화면 데이터는 로그인·API 신청 체계로 전환. 이용약관의 크롤링 금지 조항 원문은 검색으로 확인하지 못함</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https://openapi.krx.co.kr/contents/OPP/INFO/OPPINFO002.jsp ; https://github.com/skkimjj/krx-openapi-examples ; https://i-whale.com/entry/KRX-%EC%8B%9C%EC%84%B8-%EB%8D%B0%EC%9D%B4%ED%84%B0-%EC%9D%B4%EC%A0%9C-%EB%A1%9C%EA%B7%B8%EC%9D%B8-API%EB%A5%BC-%EC%8B%A0%EC%B2%AD-%ED%95%B4%EC%95%BC-%EC%93%B8-%EC%88%98-%EC%9E%88%EB%84%A4%EC%9A%94-%E3%85%9C</w:t>
            </w:r>
          </w:p>
        </w:tc>
      </w:tr>
    </w:tbl>
    <w:p>
      <w:pPr>
        <w:spacing w:after="100"/>
      </w:pPr>
    </w:p>
    <w:p>
      <w:pPr>
        <w:spacing w:after="120" w:line="312" w:lineRule="auto"/>
        <w:jc w:val="both"/>
      </w:pPr>
      <w:r>
        <w:rPr>
          <w:rFonts w:ascii="맑은 고딕" w:cs="맑은 고딕" w:eastAsia="맑은 고딕" w:hAnsi="맑은 고딕"/>
          <w:color w:val="5D665D"/>
          <w:sz w:val="18"/>
          <w:szCs w:val="18"/>
        </w:rPr>
        <w:t xml:space="preserve">출처는 검색 결과 요약으로 확인했으며 기관 사이트 본문은 개발 환경의 네트워크 제한으로 직접 열지 못했다. 언론·블로그 출처는 공식 자료로 다시 확인해야 한다.</w:t>
      </w:r>
    </w:p>
    <w:p>
      <w:pPr>
        <w:pStyle w:val="Heading1"/>
        <w:spacing w:after="160" w:before="360"/>
      </w:pPr>
      <w:r>
        <w:rPr>
          <w:rFonts w:ascii="맑은 고딕" w:cs="맑은 고딕" w:eastAsia="맑은 고딕" w:hAnsi="맑은 고딕"/>
        </w:rPr>
        <w:t xml:space="preserve">부록 B. 변경 파일 요약</w:t>
      </w:r>
    </w:p>
    <w:p>
      <w:pPr>
        <w:spacing w:after="120" w:line="312" w:lineRule="auto"/>
        <w:jc w:val="both"/>
      </w:pPr>
      <w:r>
        <w:rPr>
          <w:rFonts w:ascii="맑은 고딕" w:cs="맑은 고딕" w:eastAsia="맑은 고딕" w:hAnsi="맑은 고딕"/>
          <w:sz w:val="21"/>
          <w:szCs w:val="21"/>
        </w:rPr>
        <w:t xml:space="preserve">코드 변경(2차본): etfrec/neural.py·signals.py·zoo.py·pipeline.py(쌍별·목표 정렬 신경망, 활성 사용자 지표, 이벤트 논리·항등식·개인정보 QA), etfrec/data.py(이벤트 정규화·요약), etfrec/catalog.py·taxonomy.py·quiz.py·lessons.py(절세 계좌, 세제·규제 문구, 진단 퀴즈, 학습 요점), etfrec/privacy.py, etfrec/sources/(공식 API·파일 정규화), etfrec/service.py·api.py·ui/(활성 지표·학습 요점·개인정보 표시), tests/, README.md, scripts/.</w:t>
      </w: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중간보고서 비판 검토 및 보완 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5D665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중간보고서 비판 검토 및 보완 보고서</dc:title>
  <dc:creator>etfrec project</dc:creator>
  <cp:lastModifiedBy>Un-named</cp:lastModifiedBy>
  <cp:revision>1</cp:revision>
  <dcterms:created xsi:type="dcterms:W3CDTF">2026-10-19T08:33:37.960Z</dcterms:created>
  <dcterms:modified xsi:type="dcterms:W3CDTF">2026-10-19T08:33:37.961Z</dcterms:modified>
</cp:coreProperties>
</file>

<file path=docProps/custom.xml><?xml version="1.0" encoding="utf-8"?>
<Properties xmlns="http://schemas.openxmlformats.org/officeDocument/2006/custom-properties" xmlns:vt="http://schemas.openxmlformats.org/officeDocument/2006/docPropsVTypes"/>
</file>