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2,631개 설정 중 검증 1위는 ‘관심 주제 + 수준 일치 + 투자 목적 일치’ 규칙이었고,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12건(전국투자자교육협의회 스쿨, 금융투자교육원 사전교육, KRX ETF 정보·정보데이터시스템, 공공데이터포털 시세 API, 운용사 가이드북)을 등록부로 정리하고, KRX 전종목 기본정보·공공데이터포털 시세 커넥터와 스냅샷·출처 기록, 샘플 폴백을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etfrec(모듈 20개), 카탈로그 v2(단원 63개·선수 관계 76개), 진단 퀴즈 16문항, 로드맵 엔진, ETF 유형 분류 10종, 학습 파이프라인(설정 2,631개, 신호 154개, QA 80/80건), FastAPI 서버와 11단계 웹 UI ‘학습 설계 스튜디오’, 자동화 테스트 23건과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108,777건)에서 검증 1위는 ‘규칙[관심 주제+수준 일치+투자 목적 일치](base=연령대+소득분위)’(검증 NDCG@5 0.1377), 테스트 NDCG@5는 규칙 0.1356, 운영 라우터 0.1343, 사용자 CF 0.1061, 인기 0.0951, 무작위 0.0430였다. 노트북 B의 원본 세계(v1)는 소수점 5자리까지 재현했다. 선수 단원 가드레일은 선수 미이수 추천을 63%에서 0으로 줄이는 대신 NDCG를 0.033 낮췄는데, 선수 효과가 강한 세계에서는 오히려 역전됨을 민감도 실험으로 확인했다(6절).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정확도·다양성·교육 순서 준수 지표, 집단별 점검, 온라인 A/B(군당 약 7,000명) 설계, 사용성·전문가 검토 계획을 세웠다(7절). 남은 일정은 실제 공개 데이터 수집 실행, 교육 자료 연동, 사용자 테스트, 최종 보고서다(8절).</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21 × 수준 3 = 63단원, 선수 관계 76개,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(신호 154개, 설정 2,631개)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공개 데이터 커넥터(KRX·공공데이터포털) + 출처 등록부 12건</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리스크와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 ETF라도 총보수가 0.01%대에서 0.6%대까지 차이 나며, 장기 복리로 수익률 격차가 커진다.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 의무가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‘변동성 장세에서 레버리지 ETF의 위험’(수준 2) → 금융투자교육원 사전교육 안내</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괄호 안은 실제 시스템이 계산한 로드맵 규모다.</w:t>
      </w:r>
    </w:p>
    <w:p>
      <w:pPr>
        <w:keepNext/>
        <w:spacing w:after="60" w:before="160"/>
      </w:pPr>
      <w:r>
        <w:rPr>
          <w:rFonts w:ascii="맑은 고딕" w:cs="맑은 고딕" w:eastAsia="맑은 고딕" w:hAnsi="맑은 고딕"/>
          <w:b/>
          <w:bCs/>
          <w:color w:val="1F6F55"/>
          <w:sz w:val="19"/>
          <w:szCs w:val="19"/>
        </w:rPr>
        <w:t xml:space="preserve">표 3. 세 가지 페르소나 시나리오</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16문항 중 기초 문항 위주로 정답 → 수준 1. 맞힌 단원은 ‘진단 통과’로 기록되어 후보에서 제외.</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 단원 21개, 약 238분. 필수 기초(ETF 구조·총보수·NAV와 괴리율·유동성·환헤지·레버리지) → 분배금·채권·분산투자·연금계좌 투자·환헤지형 비교·주식채권 자산배분·IRP 규칙 → 채권과 금리·리밸런싱·환헤지 비용·상관관계·세액공제. 안정 성향이므로 레버리지 심화 단원 제외.</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‘ETF란 무엇인가’부터 시작. 연결 유형: 해외 주식형(국내 상장), 채권형, 자산배분·혼합, 국내 시장대표 주식형. 연금계좌 편입 가능 여부와 과세이연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 2 판정. 분배금·NAV 관련 단원은 진단 통과.</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템플릿: 단원 21개, 약 238분. 분배금 지급 구조·커버드콜·리츠·채권 ETF·분배금 과세가 핵심 단계.</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 1~2. 레버리지 복리 문항 오답 시 해당 단원이 로드맵의 필수 기초에 남음.</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 템플릿: 단원 19개, 약 208분. 유동성·호가 스프레드·괴리율·레버리지 위험이 핵심·심화 단계에 배치되고 투자 기간이 짧아 ‘ETF 거래량과 유동성’ 심화가 추가.</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평생 1회) 안내’ 뒤에 카드가 열림.</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한 단계 위 최대 1개) ∩ (선택) 선수 단원 통과’로 제한한다.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금지(화면·API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대조군(인기순)보다 높을 것(7절).</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통과·완료 점수의 합. 세그먼트 인기는 세그먼트 평균을 전역 평균으로 수축: n/(n+λ)·세그먼트 + λ/(n+λ)·전역</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하이브리드의 구성 신호(λ 격자 10·20·50·100)</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 5 + 관심 주제 3 + 수준 일치 2 + 모바일·짧은 콘텐츠 1 + 소득 구간 주제 + 위험성향 주제 + 투자 목적 일치 2 + 로드맵 단계 우선순위 2</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1위(목적 일치 포함).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 제목 문자 TF-IDF)과 학습자 선호 프로필의 코사인 유사도</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k명(k=20·50)의 반응 가중 평균, 인구통계 혼합 변형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위반 0.84),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 CF 신뢰도 게이트 n/(n+10) 적용</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유사도(λ=10)로 ‘함께 통과한 단원’ 점수</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음성 샘플링 MF(6·9주차, Adam)와 관측 점수 MF: 사용자·단원 잠재요인 내적</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목표(시도한 단원의 통과)와 평가 목표(다음 주 선택·통과) 불일치,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특징 → 은닉층 → 통과 확률(BCEWithLogitsLoss)</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특징 +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위와 같은 목표 불일치로 무작위 수준(6절), 데이터 양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 목표 불일치 사례로 보고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폭발(2,631개) → 검증으로 선택 필요</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잎 최소 20명)</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 전역 1위와 유의한 차이 없음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CF·MF 점수가 0</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10.2%, 검증 사용자 46%가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사용자도 NDCG 0으로 평균에 넣어(노트북 규칙) 보수적으로 추정하고 그 수를 감사 기록에 남김</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무작위와 비슷하거나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목표를 ‘다음 주 선택·통과’로 재정의한 학습(랭킹 손실)은 다음 단계 과제. 중간보고서에서는 원인을 수치로 제시</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63%가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v2(4.5절). 실제 로그 연결 시 같은 스키마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profiles.csv: user, gender, age, income, exp, risk, mobile, interest1, interest2, placement, goal*, horizon* / study_log.csv: user, item, week, day, hour, minute, complete, quiz, quiz_pass, save, drop, replay</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63개(주제 21 × 수준 3), 선수 관계 76개,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name, issuer, index, total_fee, tax_type, market, asset, hedged, futures, total_return, etf_type, pension_eligible</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등록부(12건)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이러닝(약 1시간, 수료 후 증권사에 이수번호 등록, 평생 1회)</w:t>
            </w:r>
          </w:p>
          <w:p>
            <w:pPr>
              <w:spacing w:after="20" w:line="264" w:lineRule="auto"/>
              <w:jc w:val="left"/>
            </w:pPr>
            <w:r>
              <w:rPr>
                <w:rFonts w:ascii="맑은 고딕" w:cs="맑은 고딕" w:eastAsia="맑은 고딕" w:hAnsi="맑은 고딕"/>
                <w:color w:val="5D665D"/>
                <w:sz w:val="16"/>
                <w:szCs w:val="16"/>
              </w:rPr>
              <w:t xml:space="preserve"> · 웹(유료 소액, 2025년 기준 4,000원 안내)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데이터(CSV·Excel 내려받기, 비공식 JSON 엔드포인트)</w:t>
            </w:r>
          </w:p>
          <w:p>
            <w:pPr>
              <w:spacing w:after="20" w:line="264" w:lineRule="auto"/>
              <w:jc w:val="left"/>
            </w:pPr>
            <w:r>
              <w:rPr>
                <w:rFonts w:ascii="맑은 고딕" w:cs="맑은 고딕" w:eastAsia="맑은 고딕" w:hAnsi="맑은 고딕"/>
                <w:color w:val="5D665D"/>
                <w:sz w:val="16"/>
                <w:szCs w:val="16"/>
              </w:rPr>
              <w:t xml:space="preserve"> · 웹(무료, 로그인 불필요). 자동 수집은 비공식 엔드포인트라 변경될 수 있음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대량 수집 시 이용 약관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종가·NAV·거래량·시가총액·기초지수 종가 → 괴리율·거래량 예시와 유형 통계 보강</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이용허락(사이트 고지)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w:t>
            </w:r>
          </w:p>
          <w:p>
            <w:pPr>
              <w:spacing w:after="20" w:line="264" w:lineRule="auto"/>
              <w:jc w:val="left"/>
            </w:pPr>
            <w:r>
              <w:rPr>
                <w:rFonts w:ascii="맑은 고딕" w:cs="맑은 고딕" w:eastAsia="맑은 고딕" w:hAnsi="맑은 고딕"/>
                <w:color w:val="5D665D"/>
                <w:sz w:val="16"/>
                <w:szCs w:val="16"/>
              </w:rPr>
              <w:t xml:space="preserve"> · API 키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단축코드·ISIN·시장구분·종목명 조회(종목 식별자 정합성)</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데이터베이스(TF-IDF 특징)로 확장</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 </w:t>
      </w:r>
      <w:r>
        <w:rPr>
          <w:rFonts w:ascii="맑은 고딕" w:cs="맑은 고딕" w:eastAsia="맑은 고딕" w:hAnsi="맑은 고딕"/>
          <w:sz w:val="21"/>
          <w:szCs w:val="21"/>
        </w:rPr>
        <w:t xml:space="preserve">화면이 쓰는 JSON 엔드포인트(getJsonData.cmd, bld=MDC/STAT/standard/MDCSTAT04601)로 전종목 목록을 받아 열 이름을 관대하게 매핑한다(종목명·운용사·기초지수·총보수·과세유형·복제방법·기초시장·기초자산). 비공식 엔드포인트라 변경될 수 있어 사이트에서 내려받은 CSV·Excel을 같은 정규화 함수로 읽는 경로도 둔다.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 증권상품시세정보(ETF): </w:t>
      </w:r>
      <w:r>
        <w:rPr>
          <w:rFonts w:ascii="맑은 고딕" w:cs="맑은 고딕" w:eastAsia="맑은 고딕" w:hAnsi="맑은 고딕"/>
          <w:sz w:val="21"/>
          <w:szCs w:val="21"/>
        </w:rPr>
        <w:t xml:space="preserve">금융위원회 오픈 API getETFPriceInfo를 serviceKey(환경변수 DATA_GO_KR_KEY 또는 --datagokr-key)로 호출해 종가·NAV·거래량·기초지수 종가를 받고 괴리율 = (종가 − NAV)/NAV를 계산한다. 무료, JSON/XML.</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정규화와 분류: </w:t>
      </w:r>
      <w:r>
        <w:rPr>
          <w:rFonts w:ascii="맑은 고딕" w:cs="맑은 고딕" w:eastAsia="맑은 고딕" w:hAnsi="맑은 고딕"/>
          <w:sz w:val="21"/>
          <w:szCs w:val="21"/>
        </w:rPr>
        <w:t xml:space="preserve">종목명·기초시장·기초자산 키워드 규칙으로 ETF 유형 10종을 분류하고(레버리지·인버스 → 인컴·커버드콜 → 자산배분 → 채권 → 원자재·통화 → 리츠·인프라 → 액티브·ESG → 국내 섹터·테마 → 해외 주식형 → 국내 시장대표 순으로 우선 적용), 환헤지(H)·선물형·TR·연금계좌 편입 가능 플래그를 붙인다. 유형별 종목 수·환헤지 변형 수·총보수 중앙값·운용사 수를 교육용 통계로 보여 준다.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python -m etfrec sources sync가 data/sources/에 CSV 스냅샷과 provenance.json(수집 시각·행 수·엔드포인트)을 쓰고, 서버는 스냅샷이 있으면 ‘KRX 스냅샷’, 없으면 패키지에 든 가상 종목 45개 샘플을 ‘샘플 데이터’ 배지와 함께 쓴다. 수집 전후로 화면의 숫자가 어디서 왔는지 항상 표시된다.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 커넥터는 응답 형식에 관대하게 작성했고 실제 수집은 로컬 환경에서 ‘python -m etfrec sources check / sync’로 실행할 예정이다(8절 일정). 출처 표의 메뉴 이름·이용 조건·금융투자교육원 사전교육(약 1시간, 수료 후 증권사에 이수번호 등록, 평생 1회)은 검색으로 확인했다.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가정값이며 ‘--effect 0’ 위약 세계에서 인구통계를 쓰는 설정의 이점이 사라지는지로 파이프라인이 없는 효과를 만들어 내지 않는지 확인한다.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63개 · 4주(학습 0~1주, 검증 2주, 테스트 3주)</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 · 완료 · 퀴즈 통과 · 저장 · 이탈</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108,777 · 50,257 · 24,187 · 12,825 · 46,772</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96,008 · 10.2%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6,722 · 3,070 (후보 34~63개)</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6,438 · 2,949 (후보 29~63개)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로그는 가명 처리된 사용자 번호만 쓰고, 성별은 수집하더라도 운영 라우터·운영 설정에서 제외하며 뒤집기 검사로 영향이 없음을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데이터의 자동 수집은 개인 학습·연구 범위로 제한하고 대량 수집 전 이용 약관을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API 응답에 ‘특정 ETF의 매수·매도를 권유하지 않는다’는 고지와 ‘유형 안내는 학습 순서를 돕기 위한 분류이지 개별 상품의 적합성 판단이 아니다’라는 문구를 넣었고,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154개 신호와 2,631개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16문항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 ⑤ ETF 유형 연결: 목적·성향에 맞는 유형 카드로, 각 유형의 필요 개념 단원을 모두 통과해야 열린다. 각 단계의 단원은 선수 단원이 먼저 오도록 위상정렬되고 상태(통과·학습 가능·잠김)와 남은 학습 시간을 갖는다.</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21개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9.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21개 · 약 238분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21개 · 약 238분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20개 · 약 244분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19개 · 약 208분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19개 · 약 208분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다음 단계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16문항(단원당 1문항, 수준 1 문항 8개·수준 2 문항 5개·수준 3 문항 3개)으로 구성했고 각 문항은 카탈로그 단원 하나에 대응한다(부록 B). 수준 판정은 수준 1 정답률 60% 이상이고 수준 2 정답률 50% 이상이면 수준 2, 그 상태에서 수준 2 정답률 75% 이상이고 수준 3 문항을 2개 이상 맞히면 수준 3이다. 맞힌 문항의 단원은 ‘진단 통과’ 이벤트가 되어 추천 후보에서 빠지고 로드맵에서 통과로 표시되며, 틀린 문항은 기록하지 않는다(진단은 배치이지 실패 기록이 아니다). 답하지 않은 문항은 채점에서 제외하고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10.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 분산·안정 추구, 연금·노후 대비</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 연금·노후 대비,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 과세), 연 금융소득 2,000만원 초과 시 종합과세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분산·안정 추구, 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 과세), 연 금융소득 2,000만원 초과 시 종합과세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 과세), 연 금융소득 2,000만원 초과 시 종합과세</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 과세), 연 금융소득 2,000만원 초과 시 종합과세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분산·안정 추구, 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 과세), 연 금융소득 2,000만원 초과 시 종합과세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레버리지·인버스는 상품별로 과세 유형이 다름(파생형은 배당소득세 15.4%)</w:t>
            </w:r>
          </w:p>
          <w:p>
            <w:pPr>
              <w:spacing w:after="20" w:line="264" w:lineRule="auto"/>
              <w:jc w:val="left"/>
            </w:pPr>
            <w:r>
              <w:rPr>
                <w:rFonts w:ascii="맑은 고딕" w:cs="맑은 고딕" w:eastAsia="맑은 고딕" w:hAnsi="맑은 고딕"/>
                <w:color w:val="5D665D"/>
                <w:sz w:val="16"/>
                <w:szCs w:val="16"/>
              </w:rPr>
              <w:t xml:space="preserve"> / 연금저축·IRP 편입 불가</w:t>
            </w:r>
          </w:p>
          <w:p>
            <w:pPr>
              <w:spacing w:after="20" w:line="264" w:lineRule="auto"/>
              <w:jc w:val="left"/>
            </w:pPr>
            <w:r>
              <w:rPr>
                <w:rFonts w:ascii="맑은 고딕" w:cs="맑은 고딕" w:eastAsia="맑은 고딕" w:hAnsi="맑은 고딕"/>
                <w:color w:val="9A6A00"/>
                <w:sz w:val="16"/>
                <w:szCs w:val="16"/>
              </w:rPr>
              <w:t xml:space="preserve"> / 금융투자교육원(KIFIN) 레버리지 ETP 사전교육 이수(약 1시간, 평생 1회) 후 증권사에 이수번호 등록. 기본예탁금 요건은 거래 증권사 안내 확인. 단일종목 레버리지는 심화교육 추가.</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과세이연 후 연금 수령 시 연금소득세</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11.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행렬(조회 1·완료 2·통과/저장 3의 최댓값),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154개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세그먼트 인기(변수 5 × λ 4), 개인화 인기, 콘텐츠 코사인, 사용자 CF(k·혼합), 아이템 CF, 표본 MF(2), 관측 MF, MLP, 규칙 8개 부분(기본·관심 주제·수준 일치·모바일·소득 구간·위험성향·투자 목적·로드맵 단계), 맥락 신호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2,631개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POP 1 · MF_OBS 1 · MLP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선택(잎 최소 20명, 반복 2회).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QA 80건(지표 함수 일치, 누수 없음, 가드레일, 재현성 해시, 오프라인/온라인 Top-5 일치 등) 모두 통과.</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 manifest.json(선택 기록·학습 감사·QA), 결과 CSV(테스트·검증·집단별·노출)</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12.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16문항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13.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63개, 선수 관계 76개(순환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16문항·채점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문항 확장(단원당 2~3문항)과 전문가 검수는 다음 단계</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개발 환경의 네트워크 제한으로 실제 수집은 로컬에서 실행 예정</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2,631개 설정, QA 80/80</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19장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23건(지표 일치·가드레일·로드맵·퀴즈·KRX 분류·파서·파이프라인·API·오프라인/온라인 일치), 전체 재현 테스트 1건(옵션)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학습 0~1주 로그로 특징과 모델을 만들고, 검증 2주차에서 설정을 선택·잠근 뒤, 테스트 3주차에서 보고한다. 정답은 다음 주에 관측된 퀴즈 통과 단원, 후보는 아직 통과하지 않은 단원 중 수준 가드레일(두 단계 위 차단, 한 단계 위 최대 1개)을 통과한 단원이다. 지표는 사용자 평균 NDCG@5(주 지표), Hit@5, Diversity@5(같은 주제 쌍 비율의 보수), 선수 미이수 비율(Top-5 중 선수 단원을 통과하지 않은 단원 비율), 짧은 목록 비율(후보가 5개 미만인 사용자 비율)이다. 다음 주 정답이 없는 사용자(테스트 2,949명)도 NDCG 0으로 평균에 포함하는 노트북의 규칙을 그대로 따르므로 절대 수치는 보수적이며, 그 수는 감사 기록에 남긴다. 차이의 95% 구간은 사용자 단위 쌍 부트스트랩 500회다.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14. v1 재현 결과(테스트 NDCG@5)</w:t>
      </w:r>
    </w:p>
    <w:tbl>
      <w:tblPr>
        <w:tblW w:type="dxa" w:w="9412"/>
        <w:tblBorders>
          <w:top w:val="single" w:color="BBBBBB" w:sz="6"/>
          <w:left w:val="none" w:sz="0"/>
          <w:bottom w:val="single" w:color="BBBBBB" w:sz="6"/>
          <w:right w:val="none" w:sz="0"/>
          <w:insideH w:val="single" w:color="DDDDDD" w:sz="4"/>
          <w:insideV w:val="none" w:sz="0"/>
        </w:tblBorders>
      </w:tblPr>
      <w:tblGrid>
        <w:gridCol w:w="4092"/>
        <w:gridCol w:w="2046"/>
        <w:gridCol w:w="2046"/>
        <w:gridCol w:w="1228"/>
      </w:tblGrid>
      <w:tr>
        <w:trPr>
          <w:tblHeader/>
        </w:trPr>
        <w:tc>
          <w:tcPr>
            <w:tcW w:type="dxa" w:w="409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2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2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12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2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22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r>
        <w:tc>
          <w:tcPr>
            <w:tcW w:type="dxa" w:w="409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2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22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956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NDCG@5와 선수 미이수 비율(모의 데이터 v2)</w:t>
      </w:r>
    </w:p>
    <w:p>
      <w:pPr>
        <w:keepNext/>
        <w:spacing w:after="60" w:before="160"/>
      </w:pPr>
      <w:r>
        <w:rPr>
          <w:rFonts w:ascii="맑은 고딕" w:cs="맑은 고딕" w:eastAsia="맑은 고딕" w:hAnsi="맑은 고딕"/>
          <w:b/>
          <w:bCs/>
          <w:color w:val="1F6F55"/>
          <w:sz w:val="19"/>
          <w:szCs w:val="19"/>
        </w:rPr>
        <w:t xml:space="preserve">표 15. 테스트 주차 결과(테스트 사용자 6,438명, 그중 다음 주 정답 없음 2,949명 포함)</w:t>
      </w:r>
    </w:p>
    <w:tbl>
      <w:tblPr>
        <w:tblW w:type="dxa" w:w="9412"/>
        <w:tblBorders>
          <w:top w:val="single" w:color="BBBBBB" w:sz="6"/>
          <w:left w:val="none" w:sz="0"/>
          <w:bottom w:val="single" w:color="BBBBBB" w:sz="6"/>
          <w:right w:val="none" w:sz="0"/>
          <w:insideH w:val="single" w:color="DDDDDD" w:sz="4"/>
          <w:insideV w:val="none" w:sz="0"/>
        </w:tblBorders>
      </w:tblPr>
      <w:tblGrid>
        <w:gridCol w:w="2270"/>
        <w:gridCol w:w="935"/>
        <w:gridCol w:w="1068"/>
        <w:gridCol w:w="868"/>
        <w:gridCol w:w="1068"/>
        <w:gridCol w:w="935"/>
        <w:gridCol w:w="2268"/>
      </w:tblGrid>
      <w:tr>
        <w:trPr>
          <w:tblHeader/>
        </w:trPr>
        <w:tc>
          <w:tcPr>
            <w:tcW w:type="dxa" w:w="227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방법</w:t>
            </w:r>
          </w:p>
        </w:tc>
        <w:tc>
          <w:tcPr>
            <w:tcW w:type="dxa" w:w="9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NDCG@5</w:t>
            </w:r>
          </w:p>
        </w:tc>
        <w:tc>
          <w:tcPr>
            <w:tcW w:type="dxa" w:w="10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Diversity@5</w:t>
            </w:r>
          </w:p>
        </w:tc>
        <w:tc>
          <w:tcPr>
            <w:tcW w:type="dxa" w:w="8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Hit@5</w:t>
            </w:r>
          </w:p>
        </w:tc>
        <w:tc>
          <w:tcPr>
            <w:tcW w:type="dxa" w:w="10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미이수</w:t>
            </w:r>
          </w:p>
        </w:tc>
        <w:tc>
          <w:tcPr>
            <w:tcW w:type="dxa" w:w="9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짧은 목록</w:t>
            </w:r>
          </w:p>
        </w:tc>
        <w:tc>
          <w:tcPr>
            <w:tcW w:type="dxa" w:w="22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전역 1위 대비 [95% 구간]</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규칙(검증 1위)</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0.1356</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0.898</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0.255</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0.688</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기준</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전역 1위</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0.1356</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0.898</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0.255</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0.688</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기준</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라우터(성별 제외) = 운영</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0.1343</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0.911</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0.250</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0.628</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-0.0013 [-0.0033, 0.0008]</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라우터(성별 포함)</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0.1341</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0.911</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0.250</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0.629</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-0.0015 [-0.0034, 0.0006]</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라우터(성별·소득 제외)</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0.1262</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0.943</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0.240</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0.638</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-0.0094 [-0.0135, -0.0051]</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인구통계 미사용 1위</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0.1238</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0.960</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0.234</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0.671</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-0.0118 [-0.0168, -0.0074]</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0.1061</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0.944</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0.216</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0.840</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-0.0295 [-0.0347, -0.0242]</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 선수 가드레일</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0.1014</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0.997</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0.185</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0.525</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-0.0342 [-0.0399, -0.0278]</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0.0951</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0.994</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0.193</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0.400</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-0.0405 [-0.0463, -0.0348]</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0.0829</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0.976</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0.173</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0.822</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-0.0527 [-0.0592, -0.0455]</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0.0805</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0.888</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0.164</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0.815</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-0.0551 [-0.0604, -0.0493]</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0.0734</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1.000</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0.146</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0.353</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-0.0622 [-0.0683, -0.0556]</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MF</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0.0698</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0.981</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0.149</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0.610</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-0.0658 [-0.0726, -0.0600]</w:t>
            </w:r>
          </w:p>
        </w:tc>
      </w:tr>
      <w:tr>
        <w:tc>
          <w:tcPr>
            <w:tcW w:type="dxa" w:w="227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0.0686</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0.949</w:t>
            </w:r>
          </w:p>
        </w:tc>
        <w:tc>
          <w:tcPr>
            <w:tcW w:type="dxa" w:w="8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0.151</w:t>
            </w:r>
          </w:p>
        </w:tc>
        <w:tc>
          <w:tcPr>
            <w:tcW w:type="dxa" w:w="10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0.828</w:t>
            </w:r>
          </w:p>
        </w:tc>
        <w:tc>
          <w:tcPr>
            <w:tcW w:type="dxa" w:w="93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-0.0670 [-0.0729, -0.0611]</w:t>
            </w:r>
          </w:p>
        </w:tc>
      </w:tr>
      <w:tr>
        <w:tc>
          <w:tcPr>
            <w:tcW w:type="dxa" w:w="227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무작위</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0.0430</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0.973</w:t>
            </w:r>
          </w:p>
        </w:tc>
        <w:tc>
          <w:tcPr>
            <w:tcW w:type="dxa" w:w="8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0.105</w:t>
            </w:r>
          </w:p>
        </w:tc>
        <w:tc>
          <w:tcPr>
            <w:tcW w:type="dxa" w:w="10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0.865</w:t>
            </w:r>
          </w:p>
        </w:tc>
        <w:tc>
          <w:tcPr>
            <w:tcW w:type="dxa" w:w="93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0.000</w:t>
            </w:r>
          </w:p>
        </w:tc>
        <w:tc>
          <w:tcPr>
            <w:tcW w:type="dxa" w:w="226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-0.0926 [-0.0992, -0.0864]</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1위(#455)는 ‘규칙[관심 주제+수준 일치+투자 목적 일치](base=연령대+소득분위)’로, 새로 추가한 투자 목적 일치 신호가 선택되었다. 검증 상위 8개 설정은 모두 규칙 계열이며 목적 일치 또는 로드맵 단계 우선순위를 포함한다(표 16). 하이브리드(CF 혼합)는 밀도 10%의 희소한 세계에서 규칙을 넘지 못했고, 운영 라우터는 전역 1위와 유의한 차이가 없었다(차이 -0.0013, 구간 [-0.0033, 0.0008]). MF·MLP가 무작위와 비슷하거나 그보다 조금 높은 수준에 머문 것은 학습 목표(시도한 단원의 통과 여부)와 평가 목표(다음 주에 어떤 단원을 골라 통과하는지)가 어긋나기 때문이며, v1 세계에서도 같은 양상이었다.</w:t>
      </w:r>
    </w:p>
    <w:p>
      <w:pPr>
        <w:keepNext/>
        <w:spacing w:after="60" w:before="160"/>
      </w:pPr>
      <w:r>
        <w:rPr>
          <w:rFonts w:ascii="맑은 고딕" w:cs="맑은 고딕" w:eastAsia="맑은 고딕" w:hAnsi="맑은 고딕"/>
          <w:b/>
          <w:bCs/>
          <w:color w:val="1F6F55"/>
          <w:sz w:val="19"/>
          <w:szCs w:val="19"/>
        </w:rPr>
        <w:t xml:space="preserve">표 16.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455</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0.1377</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0.897</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0.1366</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0.900</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521</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0.1366</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0.914</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0.932</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519</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0.1365</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0.898</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0.931</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0.1362</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0.915</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647</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0.1360</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0.903</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29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λ가 커질수록(세그먼트별 선택을 전역 1위 쪽으로 수축할수록) 성능이 좋아져 λ=3000이 선택되었고, 그 결과 대부분의 세그먼트에 전역 1위 설정이 배정되었다. 세그먼트별로 다른 설정을 고를 만큼의 신호가 이 데이터에는 없다는 뜻이며, 실제 로그에서 λ가 작게 선택되는지가 세그먼트 개인화의 가치를 판단하는 기준이 된다. 성별을 포함한 라우터와 제외한 라우터의 차이도 없었으므로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718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NDCG@5(투자 목적·연령대·소득분위·성별·학습활동)</w:t>
      </w:r>
    </w:p>
    <w:p>
      <w:pPr>
        <w:spacing w:after="120" w:line="312" w:lineRule="auto"/>
        <w:jc w:val="both"/>
      </w:pPr>
      <w:r>
        <w:rPr>
          <w:rFonts w:ascii="맑은 고딕" w:cs="맑은 고딕" w:eastAsia="맑은 고딕" w:hAnsi="맑은 고딕"/>
          <w:sz w:val="21"/>
          <w:szCs w:val="21"/>
        </w:rPr>
        <w:t xml:space="preserve">투자 목적별 정확도는 0.130~0.139로 고르고 구간이 겹친다. 60세 이상(358명)의 점 추정치가 높지만 구간이 넓어 표본 수의 문제이고, 학습활동이 많은 집단이 가장 높은 것은 기록이 많을수록 개인화가 잘 되는 자연스러운 결과다. 아래 표는 Top-5 중 심화·레버리지 콘텐츠의 비율로, 특정 집단에 고위험 콘텐츠가 더 많이 노출되는지 보는 진단이다. 격차는 작지만 60세 이상에서 가장 높아(0.185) 실제 서비스에서는 연령대별 심화 노출 상한 정책을 검토할 근거가 된다.</w:t>
      </w:r>
    </w:p>
    <w:p>
      <w:pPr>
        <w:keepNext/>
        <w:spacing w:after="60" w:before="160"/>
      </w:pPr>
      <w:r>
        <w:rPr>
          <w:rFonts w:ascii="맑은 고딕" w:cs="맑은 고딕" w:eastAsia="맑은 고딕" w:hAnsi="맑은 고딕"/>
          <w:b/>
          <w:bCs/>
          <w:color w:val="1F6F55"/>
          <w:sz w:val="19"/>
          <w:szCs w:val="19"/>
        </w:rPr>
        <w:t xml:space="preserve">표 17.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3,297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3,141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1,210</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1,879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1,933</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1,058</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0.187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1,311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1,316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1,278</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1,265</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290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63%가 선수 단원을 통과하지 않은 단원이었다. 선수 가드레일을 켜면 위반이 0이 되고 다양성이 0.997으로 오르지만 NDCG@5는 0.1014로 0.033 낮아진다. 원인은 두 가지다. 첫째, 선수 관계가 없는 단원이 4개뿐이어서 통과 기록이 적은 학습자는 후보가 5개 미만이 된다(테스트 사용자의 52.5%가 짧은 목록). 둘째, 모의 세계에서는 선수 단원을 건너뛴 학습자도 상당수 통과하므로(페널티 0.8), 정답 단원이 가드레일에 걸러진다. 즉 이 비용은 ‘선수 관계가 실제로 얼마나 학습 성과를 지배하는가’에 달려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18. 선수 페널티 민감도(학습자 3,000명, 테스트 사용자 1,277명)</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주당 퀴즈 통과</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4,721</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0.1001</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0.0842</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0.522</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주제+수준 일치+소득 구간 주제+위험성향 주제+모바일·짧은 콘텐츠] (α_u, λ=30)</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2,215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0.1137</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0.411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0.1215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0.684</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주제+투자 목적 일치+로드맵 단계 우선순위](base=연령대+소득분위)</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0.1336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0.753</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우선순위](base=연령대+소득분위)</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2.0, 4.0으로 키운 세계(선수 단원을 모르면 통과가 훨씬 어려운 세계)에서는 가드레일을 켠 쪽이 오히려 NDCG가 높고, 검증 1위 설정에 로드맵 단계 우선순위 신호가 들어온다.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재현성(해시·seed)을 보장하므로,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MF·MLP의 낮은 성능은 모델 결함이 아니라 목표 불일치이며, 랭킹 손실(BPR 등)로 ‘다음 주 선택·통과’를 직접 학습하는 변형을 다음 단계에서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19.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(주 지표)</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사용자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0.1343</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0.250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0.911</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0.628 (가드레일 시 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후보가 k 미만인 사용자 비율, 추천된 단원의 카탈로그 커버리지</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40명 전원 불변</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20.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노출 후 1주 안의 퀴즈 통과율(사용자당), 보조: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통과율 22% → 24%(+2%p) 검출, 유의수준 5%, 검정력 80% 기준 군당 약 7,000명. 가입 속도에 따라 4~8주</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분석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사전 등록한 지표와 분석 계획, 사용자 단위 부트스트랩·비율 검정, 세그먼트별 이질 효과는 탐색적으로만 보고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중단 규칙</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처치군의 이탈률이 대조군보다 유의하게 높거나 가드레일 지표 위반 시 중단</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21.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설정의 테스트 NDCG@5가 인기·무작위보다 유의하게 높음(95% 구간이 0을 포함하지 않음) — 현재 충족</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52.5%로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 집단별 NDCG 격차가 표본 수로 설명되고 심화 노출 비율 격차 5%p 이내 — 현재 충족(최대 격차 약 4%p)</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재학습 시 결과 해시 일치, 노트북 v1 재현 5자리 일치 — 현재 충족</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모든 응답에 고지문 — 현재 충족(20~30ms)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22.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로컬 환경에서 sources check/sync 실행(KRX 전종목, 공공데이터포털 시세),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확장(단원당 2문항)과 전문가 검수</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32개</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선수 페널티 보정 실험, 랭킹 손실 MF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23.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비공식 JSON 엔드포인트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자동 수집 실패</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내려받은 CSV 경로 유지, 열 매핑 관대화, 샘플 폴백과 배지로 사용자에게 상태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검사, 파일럿 로그로 선수 페널티·CF 비중 보정</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약 1시간, 평생 1회),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24.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가드레일 기본값</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 또는 learner{age, goal, horizon, risk, interests, placement, diagnosis, events…}, k, algorithm, guardrail{block_gap, plus_one_max, exclude_passed, prereq_block}, topic_cap, overrides,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또는 goal, 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methods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25. 진단 퀴즈 16문항</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은행 예금처럼 원금이 보장된다 / ★ 거래소에 상장되어 주식처럼 장중에 사고판다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 매일 순자산에서 조금씩 차감되어 1년에 약 0.5%가 빠진다 / 분배금에서만 떼는 세금 / 팔 때만 내는 비용</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 시장가격이 NAV보다 3% 높아 비싸게 사는 셈이다 / 분배금이 3% 나온다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고배당(High dividend) / ★ 환헤지형: 환율 변동의 영향을 줄인 상품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 보유 주식의 배당·채권 이자 등을 모아 지급한다 / 총보수에서 돌려준다 / 거래소가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 ETF 수익률이 기초지수 수익률과 얼마나 다르게 움직였는지의 변동성 / 분배금 지급 지연 / 거래량 부족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총보수가 올라간다 / ★ 사고팔 때 숨은 비용이 커진다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콜옵션을 팔아 받은 프리미엄을 분배금으로 주고, 그 대신 상승이 제한된다 / 지수의 2배를 따른다 / 채권에만 투자한다 / 분배금이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비과세 / ★ 배당소득세 15.4%(보유기간 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 해외 상장 ETF는 양도소득세 22%다.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 서로 다르게 움직이는(상관관계가 낮은) 자산끼리 / 같은 업종 주식끼리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26.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 납입액은 한도 내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--datagokr-key $KEY   # 공개 데이터 접근 점검·스냅샷</w:t>
      </w:r>
    </w:p>
    <w:p>
      <w:pPr>
        <w:shd w:fill="F1F3F0" w:color="auto" w:val="clear"/>
        <w:spacing w:after="40"/>
        <w:ind w:left="240"/>
      </w:pPr>
      <w:r>
        <w:rPr>
          <w:rFonts w:ascii="Consolas" w:cs="Consolas" w:eastAsia="Consolas" w:hAnsi="Consolas"/>
          <w:sz w:val="17"/>
          <w:szCs w:val="17"/>
        </w:rPr>
        <w:t xml:space="preserve">python scripts/regression_check.py                           # 노트북 B(v1) 기록과 5자리 일치 확인</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w:t>
      </w:r>
    </w:p>
    <w:p>
      <w:pPr>
        <w:shd w:fill="F1F3F0" w:color="auto" w:val="clear"/>
        <w:spacing w:after="40"/>
        <w:ind w:left="240"/>
      </w:pPr>
      <w:r>
        <w:rPr>
          <w:rFonts w:ascii="Consolas" w:cs="Consolas" w:eastAsia="Consolas" w:hAnsi="Consolas"/>
          <w:sz w:val="17"/>
          <w:szCs w:val="17"/>
        </w:rPr>
        <w:t xml:space="preserve">pytest -q                                                     # 자동화 테스트 23건 (약 25초)</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w:t>
      </w:r>
    </w:p>
    <w:p>
      <w:pPr>
        <w:spacing w:after="80"/>
      </w:pPr>
    </w:p>
    <w:p>
      <w:pPr>
        <w:keepNext/>
        <w:spacing w:after="60" w:before="160"/>
      </w:pPr>
      <w:r>
        <w:rPr>
          <w:rFonts w:ascii="맑은 고딕" w:cs="맑은 고딕" w:eastAsia="맑은 고딕" w:hAnsi="맑은 고딕"/>
          <w:b/>
          <w:bCs/>
          <w:color w:val="1F6F55"/>
          <w:sz w:val="19"/>
          <w:szCs w:val="19"/>
        </w:rPr>
        <w:t xml:space="preserve">표 27. 자동화 테스트</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 수준·이벤트, 분류 개념 존재, KRX 열 정규화·유형 분류·샘플 유니버스·출처 등록부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연령·소득·성별·성향, 따옴표 제목 → 이력, 예시 전부 파싱, 목적·기간, 빈 문장 경고</w:t>
            </w:r>
          </w:p>
        </w:tc>
      </w:tr>
    </w:tbl>
    <w:p>
      <w:pPr>
        <w:spacing w:after="100"/>
      </w:pP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1d9e68a7fd55ab6097a6471638790ba1cf7073.png"/><Relationship Id="rId10" Type="http://schemas.openxmlformats.org/officeDocument/2006/relationships/image" Target="media/e9f47cd979cde35fd7d45d10b4fcd0e42c2582c9.png"/><Relationship Id="rId11" Type="http://schemas.openxmlformats.org/officeDocument/2006/relationships/image" Target="media/8261982c4f2733d2e303e31f42fb6ee15741fddb.png"/><Relationship Id="rId12" Type="http://schemas.openxmlformats.org/officeDocument/2006/relationships/image" Target="media/24abcf6f25dcf80be2d2dfe0ee00ec82082fb8eb.jpg"/><Relationship Id="rId13" Type="http://schemas.openxmlformats.org/officeDocument/2006/relationships/image" Target="media/d6380c0172c0a3d230e65ffea85ab1e6c2396a82.jpg"/><Relationship Id="rId14" Type="http://schemas.openxmlformats.org/officeDocument/2006/relationships/image" Target="media/0dce82cc749bfd0f544056f45eacdbb2a14332c6.jpg"/><Relationship Id="rId15" Type="http://schemas.openxmlformats.org/officeDocument/2006/relationships/image" Target="media/5b3b4e23b1066f07ada59682309bf21f43d2c8a2.jpg"/><Relationship Id="rId16" Type="http://schemas.openxmlformats.org/officeDocument/2006/relationships/image" Target="media/6e294d621f20dcfe6012753aeccf0fca6411f557.jpg"/><Relationship Id="rId17" Type="http://schemas.openxmlformats.org/officeDocument/2006/relationships/image" Target="media/4f876633b618c957b1141f580a03030bceeb83c5.png"/><Relationship Id="rId18" Type="http://schemas.openxmlformats.org/officeDocument/2006/relationships/image" Target="media/0b182ba5b4fa08b367c2a94917a74ce48a62cc4f.png"/><Relationship Id="rId19" Type="http://schemas.openxmlformats.org/officeDocument/2006/relationships/image" Target="media/11202ae292a19cd5d062fbf7a6b93324677b258d.png"/><Relationship Id="rId20" Type="http://schemas.openxmlformats.org/officeDocument/2006/relationships/image" Target="media/757096f9a9a13675c3b68d8ace33d38c1e0ebb25.png"/><Relationship Id="rId21" Type="http://schemas.openxmlformats.org/officeDocument/2006/relationships/image" Target="media/4d1897ebfefe3ea1bffb2597f1d0885a73ee54c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2026-10-13T15:50:35.309Z</dcterms:created>
  <dcterms:modified xsi:type="dcterms:W3CDTF">2026-10-13T15:50:35.309Z</dcterms:modified>
</cp:coreProperties>
</file>

<file path=docProps/custom.xml><?xml version="1.0" encoding="utf-8"?>
<Properties xmlns="http://schemas.openxmlformats.org/officeDocument/2006/custom-properties" xmlns:vt="http://schemas.openxmlformats.org/officeDocument/2006/docPropsVTypes"/>
</file>