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Screenshots of example run (Positive and Negative)</w:t>
      </w:r>
    </w:p>
    <w:p w:rsidR="00000000" w:rsidDel="00000000" w:rsidP="00000000" w:rsidRDefault="00000000" w:rsidRPr="00000000" w14:paraId="0000000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Below is the screenshot of the output showing the relevant answers (</w:t>
      </w:r>
      <w:r w:rsidDel="00000000" w:rsidR="00000000" w:rsidRPr="00000000">
        <w:rPr>
          <w:b w:val="1"/>
          <w:color w:val="6aa84f"/>
          <w:rtl w:val="0"/>
        </w:rPr>
        <w:t xml:space="preserve">POSITIVE</w:t>
      </w:r>
      <w:r w:rsidDel="00000000" w:rsidR="00000000" w:rsidRPr="00000000">
        <w:rPr>
          <w:rtl w:val="0"/>
        </w:rPr>
        <w:t xml:space="preserve"> response) for the specific relevant questions.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It includes some of the modifications compared to previous ones like asking the input from the user for the Name and Age. This will </w:t>
      </w:r>
      <w:r w:rsidDel="00000000" w:rsidR="00000000" w:rsidRPr="00000000">
        <w:rPr>
          <w:highlight w:val="white"/>
          <w:rtl w:val="0"/>
        </w:rPr>
        <w:t xml:space="preserve">store user-specific information and preferences to provide a more personalized experience to users.</w:t>
      </w:r>
    </w:p>
    <w:p w:rsidR="00000000" w:rsidDel="00000000" w:rsidP="00000000" w:rsidRDefault="00000000" w:rsidRPr="00000000" w14:paraId="00000006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111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Below is the screenshot of the output showing the irrelevant answers (</w:t>
      </w:r>
      <w:r w:rsidDel="00000000" w:rsidR="00000000" w:rsidRPr="00000000">
        <w:rPr>
          <w:b w:val="1"/>
          <w:color w:val="ff0000"/>
          <w:rtl w:val="0"/>
        </w:rPr>
        <w:t xml:space="preserve">NEGATIVE</w:t>
      </w:r>
      <w:r w:rsidDel="00000000" w:rsidR="00000000" w:rsidRPr="00000000">
        <w:rPr>
          <w:rtl w:val="0"/>
        </w:rPr>
        <w:t xml:space="preserve"> response) for the specific relevant questions.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