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Камера и освещение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Жидких Дмитрий Сергеевич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М8О-301БВ-24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pageBreakBefore/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Условие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Цель работы - реализовать управляемую камеру и динамическое освещение по модели Блинн-Фонга. Использован правильный икосаэдр варианта 11 из первой работы. Приложение написано на C++20 с Vulkan, GLFW, ImGui и GLM.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Выполнены четыре дополнительных задания: отдельные наборы дескрипторов сцены и модели; массив точечных источников; массив прожекторов; включаемая визуализация источников кубами и конусами. Параметры камеры, материала, фонового и направленного света изменяются через ImGui.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каждой из 20 граней нормаль вычисляется как нормализованное векторное произведение двух её рёбер. Вершины общих углов дублируются, поэтому плоские грани сохраняют свои нормали: используются 60 вершин и 60 индексов.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Матрица вида обратна преобразованию камеры. Из интерфейса задаются её положение, три угла поворота, угол обзора и плоскости отсечения. Нормали модели преобразуются обратной транспонированной матрицей, что учитывает неравномерный масштаб.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Набор set 0 содержит UBO сцены и два SSBO с массивами источников. Набор set 1 содержит преобразование и материал модели. Источники можно добавлять и удалять; память SSBO увеличивается при необходимости. В GLSL массивы не имеют фиксированной длины.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Во фрагментном шейдере вычисляются рассеянный и зеркальный вклады Блинн-Фонга. Полувектор </w:t>
      </w:r>
      <m:oMath>
        <m:r>
          <w:rPr>
            <w:rFonts w:ascii="Cambria Math" w:hAnsi="Cambria Math"/>
            <w:sz w:val="28"/>
          </w:rPr>
          <m:t>H=normalize(L+V)</m:t>
        </m:r>
      </m:oMath>
      <w:r>
        <w:rPr>
          <w:rFonts w:ascii="Times New Roman" w:cs="Times New Roman" w:eastAsia="Times New Roman" w:hAnsi="Times New Roman"/>
          <w:sz w:val="28"/>
          <w:szCs w:val="28"/>
          <w:rtl w:val="0"/>
        </w:rPr>
        <w:t> используется для блика; его показатель степени задаёт Shininess. Альбедо и цвет блика редактируются в интерфейсе. Рассеянный фоновый свет прибавляется отдельно.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Точечный и прожекторный свет затухают обратно квадрату расстояния. У прожектора коэффициент освещения плавно меняется между косинусами внешнего и внутреннего полууглов через smoothstep. Кубы имеют цвет источника, а белый проволочный конус показывает его направление и внешний угол; они рисуются отдельными шейдерами без освещения.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pageBreakBefore/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  <w:jc w:val="center"/>
        <w:keepNext/>
      </w:pPr>
      <w:r>
        <w:drawing>
          <wp:inline distT="0" distB="0" distL="0" distR="0">
            <wp:extent cx="5486400" cy="3086100"/>
            <wp:docPr id="1" name="Рисунок 1" descr="Кадр приложения Vulk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1-1.png"/>
                    <pic:cNvPicPr/>
                  </pic:nvPicPr>
                  <pic:blipFill>
                    <a:blip r:embed="rIdLab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 Три типа освещения, кубы источников и конус прожектора.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  <w:jc w:val="center"/>
        <w:keepNext/>
      </w:pPr>
      <w:r>
        <w:drawing>
          <wp:inline distT="0" distB="0" distL="0" distR="0">
            <wp:extent cx="5486400" cy="3086100"/>
            <wp:docPr id="2" name="Рисунок 2" descr="Кадр приложения Vulk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1-2.png"/>
                    <pic:cNvPicPr/>
                  </pic:nvPicPr>
                  <pic:blipFill>
                    <a:blip r:embed="rIdLab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 По пять точечных и прожекторных источников, маркеры скрыты.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Выводы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Выполнены базовое задание и все четыре дополнительных пункта. Проверены рост и очистка SSBO, камера, материал, углы и визуализация прожектора. В проверенных запусках на Apple M4 Pro через MoltenVK ошибок валидации не было.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LabImage1" Type="http://schemas.openxmlformats.org/officeDocument/2006/relationships/image" Target="media/lab1-1.png"/><Relationship Id="rIdLabImage2" Type="http://schemas.openxmlformats.org/officeDocument/2006/relationships/image" Target="media/lab1-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