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Rapport — Classification de l'endométriose</w:t>
      </w:r>
    </w:p>
    <w:p>
      <w:pPr>
        <w:jc w:val="center"/>
      </w:pPr>
      <w:r>
        <w:rPr>
          <w:i/>
          <w:sz w:val="20"/>
        </w:rPr>
        <w:t>Projet : Prédiction du diagnostic d'endométriose à partir de variables cliniques</w:t>
        <w:br/>
        <w:t>Dataset : Endometriosis Dataset (Kaggle) — 10 000 observations synthétiques</w:t>
        <w:br/>
        <w:t>Date : 2026-04-16</w:t>
      </w:r>
    </w:p>
    <w:p/>
    <w:p>
      <w:pPr>
        <w:pStyle w:val="Heading1"/>
      </w:pPr>
      <w:r>
        <w:t>Résumé exécutif</w:t>
      </w:r>
    </w:p>
    <w:p>
      <w:r>
        <w:rPr>
          <w:b w:val="0"/>
          <w:i w:val="0"/>
        </w:rPr>
        <w:t>Ce rapport présente une analyse exploratoire et une comparaison de 5 modèles de classification sur un jeu de données synthétique de 10 000 patientes, destiné à prédire la présence d'endométriose à partir de 6 variables cliniques (âge, BMI, douleur chronique, irrégularité menstruelle, anomalie hormonale, infertilité).</w:t>
      </w:r>
    </w:p>
    <w:p>
      <w:r>
        <w:rPr>
          <w:b/>
          <w:i w:val="0"/>
        </w:rPr>
        <w:t>Principaux résultats :</w:t>
      </w:r>
    </w:p>
    <w:p>
      <w:pPr>
        <w:pStyle w:val="ListBullet"/>
      </w:pPr>
      <w:r>
        <w:t>Données propres, sans valeurs manquantes ni doublons.</w:t>
      </w:r>
    </w:p>
    <w:p>
      <w:pPr>
        <w:pStyle w:val="ListBullet"/>
      </w:pPr>
      <w:r>
        <w:t>Classes modérément déséquilibrées : 59 % de cas négatifs, 41 % de cas positifs.</w:t>
      </w:r>
    </w:p>
    <w:p>
      <w:pPr>
        <w:pStyle w:val="ListBullet"/>
      </w:pPr>
      <w:r>
        <w:t>Les variables les plus discriminantes sont l'anomalie hormonale (r = 0,19) et le niveau de douleur chronique (r = 0,12).</w:t>
      </w:r>
    </w:p>
    <w:p>
      <w:pPr>
        <w:pStyle w:val="ListBullet"/>
      </w:pPr>
      <w:r>
        <w:t>Le SVM (noyau RBF) obtient le meilleur F1-score sur le test set (0,577), suivi de près par la Logistic Regression (0,574).</w:t>
      </w:r>
    </w:p>
    <w:p>
      <w:pPr>
        <w:pStyle w:val="ListBullet"/>
      </w:pPr>
      <w:r>
        <w:t>Les performances globales restent modestes (accuracy ≈ 0,61, ROC-AUC ≈ 0,66), cohérent avec un dataset synthétique à forte composante aléatoire.</w:t>
      </w:r>
    </w:p>
    <w:p>
      <w:pPr>
        <w:pStyle w:val="Heading1"/>
      </w:pPr>
      <w:r>
        <w:t>1. Contexte et objectifs</w:t>
      </w:r>
    </w:p>
    <w:p>
      <w:r>
        <w:rPr>
          <w:b w:val="0"/>
          <w:i w:val="0"/>
        </w:rPr>
        <w:t>L'endométriose est une maladie gynécologique chronique qui touche environ une femme sur dix en âge de procréer. Son diagnostic est souvent tardif (plusieurs années en moyenne), ce qui motive le développement d'outils d'aide au dépistage basés sur les symptômes rapportés.</w:t>
      </w:r>
    </w:p>
    <w:p>
      <w:r>
        <w:rPr>
          <w:b/>
          <w:i w:val="0"/>
        </w:rPr>
        <w:t>Objectifs du projet :</w:t>
      </w:r>
    </w:p>
    <w:p>
      <w:pPr>
        <w:pStyle w:val="ListNumber"/>
      </w:pPr>
      <w:r>
        <w:t>Explorer les distributions et corrélations du dataset.</w:t>
      </w:r>
    </w:p>
    <w:p>
      <w:pPr>
        <w:pStyle w:val="ListNumber"/>
      </w:pPr>
      <w:r>
        <w:t>Entraîner et comparer plusieurs modèles de classification supervisée.</w:t>
      </w:r>
    </w:p>
    <w:p>
      <w:pPr>
        <w:pStyle w:val="ListNumber"/>
      </w:pPr>
      <w:r>
        <w:t>Identifier les variables les plus informatives.</w:t>
      </w:r>
    </w:p>
    <w:p>
      <w:pPr>
        <w:pStyle w:val="Heading1"/>
      </w:pPr>
      <w:r>
        <w:t>2. Présentation du dataset</w:t>
      </w:r>
    </w:p>
    <w:p>
      <w:pPr>
        <w:pStyle w:val="Heading2"/>
      </w:pPr>
      <w:r>
        <w:t>2.1 Variables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
              <w:rPr>
                <w:b/>
              </w:rPr>
              <w:t>Variable</w:t>
            </w:r>
          </w:p>
        </w:tc>
        <w:tc>
          <w:tcPr>
            <w:tcW w:type="dxa" w:w="2493"/>
          </w:tcPr>
          <w:p>
            <w:r/>
            <w:r>
              <w:rPr>
                <w:b/>
              </w:rPr>
              <w:t>Type</w:t>
            </w:r>
          </w:p>
        </w:tc>
        <w:tc>
          <w:tcPr>
            <w:tcW w:type="dxa" w:w="2493"/>
          </w:tcPr>
          <w:p>
            <w:r/>
            <w:r>
              <w:rPr>
                <w:b/>
              </w:rPr>
              <w:t>Plage / Modalités</w:t>
            </w:r>
          </w:p>
        </w:tc>
        <w:tc>
          <w:tcPr>
            <w:tcW w:type="dxa" w:w="2493"/>
          </w:tcPr>
          <w:p>
            <w:r/>
            <w:r>
              <w:rPr>
                <w:b/>
              </w:rPr>
              <w:t>Description</w:t>
            </w:r>
          </w:p>
        </w:tc>
      </w:tr>
      <w:tr>
        <w:tc>
          <w:tcPr>
            <w:tcW w:type="dxa" w:w="2493"/>
          </w:tcPr>
          <w:p>
            <w:r>
              <w:t>Age</w:t>
            </w:r>
          </w:p>
        </w:tc>
        <w:tc>
          <w:tcPr>
            <w:tcW w:type="dxa" w:w="2493"/>
          </w:tcPr>
          <w:p>
            <w:r>
              <w:t>entier</w:t>
            </w:r>
          </w:p>
        </w:tc>
        <w:tc>
          <w:tcPr>
            <w:tcW w:type="dxa" w:w="2493"/>
          </w:tcPr>
          <w:p>
            <w:r>
              <w:t>18–49</w:t>
            </w:r>
          </w:p>
        </w:tc>
        <w:tc>
          <w:tcPr>
            <w:tcW w:type="dxa" w:w="2493"/>
          </w:tcPr>
          <w:p>
            <w:r>
              <w:t>Âge de la patiente</w:t>
            </w:r>
          </w:p>
        </w:tc>
      </w:tr>
      <w:tr>
        <w:tc>
          <w:tcPr>
            <w:tcW w:type="dxa" w:w="2493"/>
          </w:tcPr>
          <w:p>
            <w:r>
              <w:t>Menstrual_Irregularity</w:t>
            </w:r>
          </w:p>
        </w:tc>
        <w:tc>
          <w:tcPr>
            <w:tcW w:type="dxa" w:w="2493"/>
          </w:tcPr>
          <w:p>
            <w:r>
              <w:t>binaire</w:t>
            </w:r>
          </w:p>
        </w:tc>
        <w:tc>
          <w:tcPr>
            <w:tcW w:type="dxa" w:w="2493"/>
          </w:tcPr>
          <w:p>
            <w:r>
              <w:t>0 / 1</w:t>
            </w:r>
          </w:p>
        </w:tc>
        <w:tc>
          <w:tcPr>
            <w:tcW w:type="dxa" w:w="2493"/>
          </w:tcPr>
          <w:p>
            <w:r>
              <w:t>Irrégularité menstruelle</w:t>
            </w:r>
          </w:p>
        </w:tc>
      </w:tr>
      <w:tr>
        <w:tc>
          <w:tcPr>
            <w:tcW w:type="dxa" w:w="2493"/>
          </w:tcPr>
          <w:p>
            <w:r>
              <w:t>Chronic_Pain_Level</w:t>
            </w:r>
          </w:p>
        </w:tc>
        <w:tc>
          <w:tcPr>
            <w:tcW w:type="dxa" w:w="2493"/>
          </w:tcPr>
          <w:p>
            <w:r>
              <w:t>continu</w:t>
            </w:r>
          </w:p>
        </w:tc>
        <w:tc>
          <w:tcPr>
            <w:tcW w:type="dxa" w:w="2493"/>
          </w:tcPr>
          <w:p>
            <w:r>
              <w:t>0–10</w:t>
            </w:r>
          </w:p>
        </w:tc>
        <w:tc>
          <w:tcPr>
            <w:tcW w:type="dxa" w:w="2493"/>
          </w:tcPr>
          <w:p>
            <w:r>
              <w:t>Niveau de douleur chronique</w:t>
            </w:r>
          </w:p>
        </w:tc>
      </w:tr>
      <w:tr>
        <w:tc>
          <w:tcPr>
            <w:tcW w:type="dxa" w:w="2493"/>
          </w:tcPr>
          <w:p>
            <w:r>
              <w:t>Hormone_Level_Abnormality</w:t>
            </w:r>
          </w:p>
        </w:tc>
        <w:tc>
          <w:tcPr>
            <w:tcW w:type="dxa" w:w="2493"/>
          </w:tcPr>
          <w:p>
            <w:r>
              <w:t>binaire</w:t>
            </w:r>
          </w:p>
        </w:tc>
        <w:tc>
          <w:tcPr>
            <w:tcW w:type="dxa" w:w="2493"/>
          </w:tcPr>
          <w:p>
            <w:r>
              <w:t>0 / 1</w:t>
            </w:r>
          </w:p>
        </w:tc>
        <w:tc>
          <w:tcPr>
            <w:tcW w:type="dxa" w:w="2493"/>
          </w:tcPr>
          <w:p>
            <w:r>
              <w:t>Anomalie des niveaux hormonaux</w:t>
            </w:r>
          </w:p>
        </w:tc>
      </w:tr>
      <w:tr>
        <w:tc>
          <w:tcPr>
            <w:tcW w:type="dxa" w:w="2493"/>
          </w:tcPr>
          <w:p>
            <w:r>
              <w:t>Infertility</w:t>
            </w:r>
          </w:p>
        </w:tc>
        <w:tc>
          <w:tcPr>
            <w:tcW w:type="dxa" w:w="2493"/>
          </w:tcPr>
          <w:p>
            <w:r>
              <w:t>binaire</w:t>
            </w:r>
          </w:p>
        </w:tc>
        <w:tc>
          <w:tcPr>
            <w:tcW w:type="dxa" w:w="2493"/>
          </w:tcPr>
          <w:p>
            <w:r>
              <w:t>0 / 1</w:t>
            </w:r>
          </w:p>
        </w:tc>
        <w:tc>
          <w:tcPr>
            <w:tcW w:type="dxa" w:w="2493"/>
          </w:tcPr>
          <w:p>
            <w:r>
              <w:t>Infertilité signalée</w:t>
            </w:r>
          </w:p>
        </w:tc>
      </w:tr>
      <w:tr>
        <w:tc>
          <w:tcPr>
            <w:tcW w:type="dxa" w:w="2493"/>
          </w:tcPr>
          <w:p>
            <w:r>
              <w:t>BMI</w:t>
            </w:r>
          </w:p>
        </w:tc>
        <w:tc>
          <w:tcPr>
            <w:tcW w:type="dxa" w:w="2493"/>
          </w:tcPr>
          <w:p>
            <w:r>
              <w:t>continu</w:t>
            </w:r>
          </w:p>
        </w:tc>
        <w:tc>
          <w:tcPr>
            <w:tcW w:type="dxa" w:w="2493"/>
          </w:tcPr>
          <w:p>
            <w:r>
              <w:t>15–37</w:t>
            </w:r>
          </w:p>
        </w:tc>
        <w:tc>
          <w:tcPr>
            <w:tcW w:type="dxa" w:w="2493"/>
          </w:tcPr>
          <w:p>
            <w:r>
              <w:t>Indice de masse corporelle</w:t>
            </w:r>
          </w:p>
        </w:tc>
      </w:tr>
      <w:tr>
        <w:tc>
          <w:tcPr>
            <w:tcW w:type="dxa" w:w="2493"/>
          </w:tcPr>
          <w:p>
            <w:r>
              <w:t>Diagnosis</w:t>
            </w:r>
          </w:p>
        </w:tc>
        <w:tc>
          <w:tcPr>
            <w:tcW w:type="dxa" w:w="2493"/>
          </w:tcPr>
          <w:p>
            <w:r>
              <w:t>binaire</w:t>
            </w:r>
          </w:p>
        </w:tc>
        <w:tc>
          <w:tcPr>
            <w:tcW w:type="dxa" w:w="2493"/>
          </w:tcPr>
          <w:p>
            <w:r>
              <w:t>0 / 1</w:t>
            </w:r>
          </w:p>
        </w:tc>
        <w:tc>
          <w:tcPr>
            <w:tcW w:type="dxa" w:w="2493"/>
          </w:tcPr>
          <w:p>
            <w:r>
              <w:t>Cible — endométriose</w:t>
            </w:r>
          </w:p>
        </w:tc>
      </w:tr>
    </w:tbl>
    <w:p>
      <w:pPr>
        <w:pStyle w:val="Heading2"/>
      </w:pPr>
      <w:r>
        <w:t>2.2 Statistiques descriptives</w:t>
      </w:r>
    </w:p>
    <w:p>
      <w:pPr>
        <w:pStyle w:val="ListBullet"/>
      </w:pPr>
      <w:r>
        <w:t>10 000 observations, 7 variables</w:t>
      </w:r>
    </w:p>
    <w:p>
      <w:pPr>
        <w:pStyle w:val="ListBullet"/>
      </w:pPr>
      <w:r>
        <w:t>Aucune valeur manquante, aucun doublon</w:t>
      </w:r>
    </w:p>
    <w:p>
      <w:pPr>
        <w:pStyle w:val="ListBullet"/>
      </w:pPr>
      <w:r>
        <w:t>Âge moyen : 33,7 ans (écart-type 9,2)</w:t>
      </w:r>
    </w:p>
    <w:p>
      <w:pPr>
        <w:pStyle w:val="ListBullet"/>
      </w:pPr>
      <w:r>
        <w:t>BMI moyen : 23,1 (écart-type 3,9)</w:t>
      </w:r>
    </w:p>
    <w:p>
      <w:pPr>
        <w:pStyle w:val="ListBullet"/>
      </w:pPr>
      <w:r>
        <w:t>70 % des patientes présentent une irrégularité menstruelle, 57 % une anomalie hormonale, 30 % une infertilité</w:t>
      </w:r>
    </w:p>
    <w:p>
      <w:pPr>
        <w:pStyle w:val="Heading1"/>
      </w:pPr>
      <w:r>
        <w:t>3. Analyse exploratoire</w:t>
      </w:r>
    </w:p>
    <w:p>
      <w:pPr>
        <w:pStyle w:val="Heading2"/>
      </w:pPr>
      <w:r>
        <w:t>3.1 Distribution de la variable cible</w:t>
      </w:r>
    </w:p>
    <w:p>
      <w:r>
        <w:rPr>
          <w:b w:val="0"/>
          <w:i w:val="0"/>
        </w:rPr>
        <w:t>La variable cible est modérément déséquilibrée : 59,2 % de patientes non diagnostiquées contre 40,8 % diagnostiquées. Ce déséquilibre est pris en compte via un split stratifié et l'option class_weight='balanced'.</w:t>
      </w:r>
    </w:p>
    <w:p>
      <w:pPr>
        <w:jc w:val="center"/>
      </w:pPr>
      <w:r>
        <w:drawing>
          <wp:inline xmlns:a="http://schemas.openxmlformats.org/drawingml/2006/main" xmlns:pic="http://schemas.openxmlformats.org/drawingml/2006/picture">
            <wp:extent cx="5400000" cy="2178361"/>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400000" cy="2178361"/>
                    </a:xfrm>
                    <a:prstGeom prst="rect"/>
                  </pic:spPr>
                </pic:pic>
              </a:graphicData>
            </a:graphic>
          </wp:inline>
        </w:drawing>
      </w:r>
    </w:p>
    <w:p>
      <w:pPr>
        <w:jc w:val="center"/>
      </w:pPr>
      <w:r>
        <w:rPr>
          <w:i/>
          <w:sz w:val="18"/>
        </w:rPr>
        <w:t>Figure 1 — Répartition du diagnostic</w:t>
      </w:r>
    </w:p>
    <w:p>
      <w:pPr>
        <w:pStyle w:val="Heading2"/>
      </w:pPr>
      <w:r>
        <w:t>3.2 Variables numériques</w:t>
      </w:r>
    </w:p>
    <w:p>
      <w:r>
        <w:rPr>
          <w:b w:val="0"/>
          <w:i w:val="0"/>
        </w:rPr>
        <w:t>Les distributions des variables Age, Chronic_Pain_Level et BMI sont approximativement uniformes ou normales sur leurs plages respectives.</w:t>
      </w:r>
    </w:p>
    <w:p>
      <w:pPr>
        <w:jc w:val="center"/>
      </w:pPr>
      <w:r>
        <w:drawing>
          <wp:inline xmlns:a="http://schemas.openxmlformats.org/drawingml/2006/main" xmlns:pic="http://schemas.openxmlformats.org/drawingml/2006/picture">
            <wp:extent cx="5760000" cy="1494172"/>
            <wp:docPr id="2" name="Picture 2"/>
            <wp:cNvGraphicFramePr>
              <a:graphicFrameLocks noChangeAspect="1"/>
            </wp:cNvGraphicFramePr>
            <a:graphic>
              <a:graphicData uri="http://schemas.openxmlformats.org/drawingml/2006/picture">
                <pic:pic>
                  <pic:nvPicPr>
                    <pic:cNvPr id="0" name="02_numerical_distributions.png"/>
                    <pic:cNvPicPr/>
                  </pic:nvPicPr>
                  <pic:blipFill>
                    <a:blip r:embed="rId10"/>
                    <a:stretch>
                      <a:fillRect/>
                    </a:stretch>
                  </pic:blipFill>
                  <pic:spPr>
                    <a:xfrm>
                      <a:off x="0" y="0"/>
                      <a:ext cx="5760000" cy="1494172"/>
                    </a:xfrm>
                    <a:prstGeom prst="rect"/>
                  </pic:spPr>
                </pic:pic>
              </a:graphicData>
            </a:graphic>
          </wp:inline>
        </w:drawing>
      </w:r>
    </w:p>
    <w:p>
      <w:pPr>
        <w:jc w:val="center"/>
      </w:pPr>
      <w:r>
        <w:rPr>
          <w:i/>
          <w:sz w:val="18"/>
        </w:rPr>
        <w:t>Figure 2 — Distributions des variables numériques</w:t>
      </w:r>
    </w:p>
    <w:p>
      <w:r>
        <w:rPr>
          <w:b w:val="0"/>
          <w:i w:val="0"/>
        </w:rPr>
        <w:t>Une analyse bivariée par diagnostic révèle un décalage faible mais présent pour la douleur chronique : la médiane passe de 4,85 chez les cas négatifs à 5,24 chez les cas positifs.</w:t>
      </w:r>
    </w:p>
    <w:p>
      <w:pPr>
        <w:jc w:val="center"/>
      </w:pPr>
      <w:r>
        <w:drawing>
          <wp:inline xmlns:a="http://schemas.openxmlformats.org/drawingml/2006/main" xmlns:pic="http://schemas.openxmlformats.org/drawingml/2006/picture">
            <wp:extent cx="5760000" cy="1494172"/>
            <wp:docPr id="3" name="Picture 3"/>
            <wp:cNvGraphicFramePr>
              <a:graphicFrameLocks noChangeAspect="1"/>
            </wp:cNvGraphicFramePr>
            <a:graphic>
              <a:graphicData uri="http://schemas.openxmlformats.org/drawingml/2006/picture">
                <pic:pic>
                  <pic:nvPicPr>
                    <pic:cNvPr id="0" name="03_boxplots_by_diagnosis.png"/>
                    <pic:cNvPicPr/>
                  </pic:nvPicPr>
                  <pic:blipFill>
                    <a:blip r:embed="rId11"/>
                    <a:stretch>
                      <a:fillRect/>
                    </a:stretch>
                  </pic:blipFill>
                  <pic:spPr>
                    <a:xfrm>
                      <a:off x="0" y="0"/>
                      <a:ext cx="5760000" cy="1494172"/>
                    </a:xfrm>
                    <a:prstGeom prst="rect"/>
                  </pic:spPr>
                </pic:pic>
              </a:graphicData>
            </a:graphic>
          </wp:inline>
        </w:drawing>
      </w:r>
    </w:p>
    <w:p>
      <w:pPr>
        <w:jc w:val="center"/>
      </w:pPr>
      <w:r>
        <w:rPr>
          <w:i/>
          <w:sz w:val="18"/>
        </w:rPr>
        <w:t>Figure 3 — Variables numériques par diagnostic</w:t>
      </w:r>
    </w:p>
    <w:p>
      <w:pPr>
        <w:pStyle w:val="Heading2"/>
      </w:pPr>
      <w:r>
        <w:t>3.3 Variables binaires</w:t>
      </w:r>
    </w:p>
    <w:p>
      <w:r>
        <w:rPr>
          <w:b w:val="0"/>
          <w:i w:val="0"/>
        </w:rPr>
        <w:t>Toutes les variables binaires présentent une prévalence plus élevée chez les cas positifs :</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
              <w:rPr>
                <w:b/>
              </w:rPr>
              <w:t>Variable</w:t>
            </w:r>
          </w:p>
        </w:tc>
        <w:tc>
          <w:tcPr>
            <w:tcW w:type="dxa" w:w="2493"/>
          </w:tcPr>
          <w:p>
            <w:r/>
            <w:r>
              <w:rPr>
                <w:b/>
              </w:rPr>
              <w:t>% positif si Diagnosis=0</w:t>
            </w:r>
          </w:p>
        </w:tc>
        <w:tc>
          <w:tcPr>
            <w:tcW w:type="dxa" w:w="2493"/>
          </w:tcPr>
          <w:p>
            <w:r/>
            <w:r>
              <w:rPr>
                <w:b/>
              </w:rPr>
              <w:t>% positif si Diagnosis=1</w:t>
            </w:r>
          </w:p>
        </w:tc>
        <w:tc>
          <w:tcPr>
            <w:tcW w:type="dxa" w:w="2493"/>
          </w:tcPr>
          <w:p>
            <w:r/>
            <w:r>
              <w:rPr>
                <w:b/>
              </w:rPr>
              <w:t>Écart</w:t>
            </w:r>
          </w:p>
        </w:tc>
      </w:tr>
      <w:tr>
        <w:tc>
          <w:tcPr>
            <w:tcW w:type="dxa" w:w="2493"/>
          </w:tcPr>
          <w:p>
            <w:r>
              <w:t>Menstrual_Irregularity</w:t>
            </w:r>
          </w:p>
        </w:tc>
        <w:tc>
          <w:tcPr>
            <w:tcW w:type="dxa" w:w="2493"/>
          </w:tcPr>
          <w:p>
            <w:r>
              <w:t>66,1 %</w:t>
            </w:r>
          </w:p>
        </w:tc>
        <w:tc>
          <w:tcPr>
            <w:tcW w:type="dxa" w:w="2493"/>
          </w:tcPr>
          <w:p>
            <w:r>
              <w:t>75,0 %</w:t>
            </w:r>
          </w:p>
        </w:tc>
        <w:tc>
          <w:tcPr>
            <w:tcW w:type="dxa" w:w="2493"/>
          </w:tcPr>
          <w:p>
            <w:r>
              <w:t>+8,9 pts</w:t>
            </w:r>
          </w:p>
        </w:tc>
      </w:tr>
      <w:tr>
        <w:tc>
          <w:tcPr>
            <w:tcW w:type="dxa" w:w="2493"/>
          </w:tcPr>
          <w:p>
            <w:r>
              <w:t>Hormone_Level_Abnormality</w:t>
            </w:r>
          </w:p>
        </w:tc>
        <w:tc>
          <w:tcPr>
            <w:tcW w:type="dxa" w:w="2493"/>
          </w:tcPr>
          <w:p>
            <w:r>
              <w:t>51,5 %</w:t>
            </w:r>
          </w:p>
        </w:tc>
        <w:tc>
          <w:tcPr>
            <w:tcW w:type="dxa" w:w="2493"/>
          </w:tcPr>
          <w:p>
            <w:r>
              <w:t>70,2 %</w:t>
            </w:r>
          </w:p>
        </w:tc>
        <w:tc>
          <w:tcPr>
            <w:tcW w:type="dxa" w:w="2493"/>
          </w:tcPr>
          <w:p>
            <w:r>
              <w:t>+18,7 pts</w:t>
            </w:r>
          </w:p>
        </w:tc>
      </w:tr>
      <w:tr>
        <w:tc>
          <w:tcPr>
            <w:tcW w:type="dxa" w:w="2493"/>
          </w:tcPr>
          <w:p>
            <w:r>
              <w:t>Infertility</w:t>
            </w:r>
          </w:p>
        </w:tc>
        <w:tc>
          <w:tcPr>
            <w:tcW w:type="dxa" w:w="2493"/>
          </w:tcPr>
          <w:p>
            <w:r>
              <w:t>26,2 %</w:t>
            </w:r>
          </w:p>
        </w:tc>
        <w:tc>
          <w:tcPr>
            <w:tcW w:type="dxa" w:w="2493"/>
          </w:tcPr>
          <w:p>
            <w:r>
              <w:t>35,1 %</w:t>
            </w:r>
          </w:p>
        </w:tc>
        <w:tc>
          <w:tcPr>
            <w:tcW w:type="dxa" w:w="2493"/>
          </w:tcPr>
          <w:p>
            <w:r>
              <w:t>+8,9 pts</w:t>
            </w:r>
          </w:p>
        </w:tc>
      </w:tr>
    </w:tbl>
    <w:p>
      <w:pPr>
        <w:jc w:val="center"/>
      </w:pPr>
      <w:r>
        <w:drawing>
          <wp:inline xmlns:a="http://schemas.openxmlformats.org/drawingml/2006/main" xmlns:pic="http://schemas.openxmlformats.org/drawingml/2006/picture">
            <wp:extent cx="5760000" cy="1494172"/>
            <wp:docPr id="4" name="Picture 4"/>
            <wp:cNvGraphicFramePr>
              <a:graphicFrameLocks noChangeAspect="1"/>
            </wp:cNvGraphicFramePr>
            <a:graphic>
              <a:graphicData uri="http://schemas.openxmlformats.org/drawingml/2006/picture">
                <pic:pic>
                  <pic:nvPicPr>
                    <pic:cNvPr id="0" name="04_binary_vs_diagnosis.png"/>
                    <pic:cNvPicPr/>
                  </pic:nvPicPr>
                  <pic:blipFill>
                    <a:blip r:embed="rId12"/>
                    <a:stretch>
                      <a:fillRect/>
                    </a:stretch>
                  </pic:blipFill>
                  <pic:spPr>
                    <a:xfrm>
                      <a:off x="0" y="0"/>
                      <a:ext cx="5760000" cy="1494172"/>
                    </a:xfrm>
                    <a:prstGeom prst="rect"/>
                  </pic:spPr>
                </pic:pic>
              </a:graphicData>
            </a:graphic>
          </wp:inline>
        </w:drawing>
      </w:r>
    </w:p>
    <w:p>
      <w:pPr>
        <w:jc w:val="center"/>
      </w:pPr>
      <w:r>
        <w:rPr>
          <w:i/>
          <w:sz w:val="18"/>
        </w:rPr>
        <w:t>Figure 4 — Variables binaires vs diagnostic</w:t>
      </w:r>
    </w:p>
    <w:p>
      <w:pPr>
        <w:pStyle w:val="Heading2"/>
      </w:pPr>
      <w:r>
        <w:t>3.4 Matrice de corrélation</w:t>
      </w:r>
    </w:p>
    <w:p>
      <w:pPr>
        <w:jc w:val="center"/>
      </w:pPr>
      <w:r>
        <w:drawing>
          <wp:inline xmlns:a="http://schemas.openxmlformats.org/drawingml/2006/main" xmlns:pic="http://schemas.openxmlformats.org/drawingml/2006/picture">
            <wp:extent cx="4680000" cy="3638272"/>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4680000" cy="3638272"/>
                    </a:xfrm>
                    <a:prstGeom prst="rect"/>
                  </pic:spPr>
                </pic:pic>
              </a:graphicData>
            </a:graphic>
          </wp:inline>
        </w:drawing>
      </w:r>
    </w:p>
    <w:p>
      <w:pPr>
        <w:jc w:val="center"/>
      </w:pPr>
      <w:r>
        <w:rPr>
          <w:i/>
          <w:sz w:val="18"/>
        </w:rPr>
        <w:t>Figure 5 — Matrice de corrélation</w:t>
      </w:r>
    </w:p>
    <w:p>
      <w:r>
        <w:rPr>
          <w:b w:val="0"/>
          <w:i w:val="0"/>
        </w:rPr>
        <w:t>Les corrélations entre variables explicatives sont très faibles (&lt; 0,02), ce qui suggère l'absence de multicolinéarité problématique.</w:t>
      </w:r>
    </w:p>
    <w:p>
      <w:pPr>
        <w:jc w:val="center"/>
      </w:pPr>
      <w:r>
        <w:drawing>
          <wp:inline xmlns:a="http://schemas.openxmlformats.org/drawingml/2006/main" xmlns:pic="http://schemas.openxmlformats.org/drawingml/2006/picture">
            <wp:extent cx="5040000" cy="2471847"/>
            <wp:docPr id="6" name="Picture 6"/>
            <wp:cNvGraphicFramePr>
              <a:graphicFrameLocks noChangeAspect="1"/>
            </wp:cNvGraphicFramePr>
            <a:graphic>
              <a:graphicData uri="http://schemas.openxmlformats.org/drawingml/2006/picture">
                <pic:pic>
                  <pic:nvPicPr>
                    <pic:cNvPr id="0" name="06_target_correlations.png"/>
                    <pic:cNvPicPr/>
                  </pic:nvPicPr>
                  <pic:blipFill>
                    <a:blip r:embed="rId14"/>
                    <a:stretch>
                      <a:fillRect/>
                    </a:stretch>
                  </pic:blipFill>
                  <pic:spPr>
                    <a:xfrm>
                      <a:off x="0" y="0"/>
                      <a:ext cx="5040000" cy="2471847"/>
                    </a:xfrm>
                    <a:prstGeom prst="rect"/>
                  </pic:spPr>
                </pic:pic>
              </a:graphicData>
            </a:graphic>
          </wp:inline>
        </w:drawing>
      </w:r>
    </w:p>
    <w:p>
      <w:pPr>
        <w:jc w:val="center"/>
      </w:pPr>
      <w:r>
        <w:rPr>
          <w:i/>
          <w:sz w:val="18"/>
        </w:rPr>
        <w:t>Figure 6 — Corrélation des variables avec la cible</w:t>
      </w:r>
    </w:p>
    <w:p>
      <w:r>
        <w:rPr>
          <w:b/>
          <w:i w:val="0"/>
        </w:rPr>
        <w:t>Classement des variables par corrélation avec Diagnosis :</w:t>
      </w:r>
    </w:p>
    <w:tbl>
      <w:tblPr>
        <w:tblStyle w:val="LightGrid-Accent1"/>
        <w:tblW w:type="auto" w:w="0"/>
        <w:tblLook w:firstColumn="1" w:firstRow="1" w:lastColumn="0" w:lastRow="0" w:noHBand="0" w:noVBand="1" w:val="04A0"/>
      </w:tblPr>
      <w:tblGrid>
        <w:gridCol w:w="4986"/>
        <w:gridCol w:w="4986"/>
      </w:tblGrid>
      <w:tr>
        <w:tc>
          <w:tcPr>
            <w:tcW w:type="dxa" w:w="4986"/>
          </w:tcPr>
          <w:p>
            <w:r/>
            <w:r>
              <w:rPr>
                <w:b/>
              </w:rPr>
              <w:t>Variable</w:t>
            </w:r>
          </w:p>
        </w:tc>
        <w:tc>
          <w:tcPr>
            <w:tcW w:type="dxa" w:w="4986"/>
          </w:tcPr>
          <w:p>
            <w:r/>
            <w:r>
              <w:rPr>
                <w:b/>
              </w:rPr>
              <w:t>Corrélation (Pearson)</w:t>
            </w:r>
          </w:p>
        </w:tc>
      </w:tr>
      <w:tr>
        <w:tc>
          <w:tcPr>
            <w:tcW w:type="dxa" w:w="4986"/>
          </w:tcPr>
          <w:p>
            <w:r>
              <w:t>Hormone_Level_Abnormality</w:t>
            </w:r>
          </w:p>
        </w:tc>
        <w:tc>
          <w:tcPr>
            <w:tcW w:type="dxa" w:w="4986"/>
          </w:tcPr>
          <w:p>
            <w:r>
              <w:t>0,187</w:t>
            </w:r>
          </w:p>
        </w:tc>
      </w:tr>
      <w:tr>
        <w:tc>
          <w:tcPr>
            <w:tcW w:type="dxa" w:w="4986"/>
          </w:tcPr>
          <w:p>
            <w:r>
              <w:t>Chronic_Pain_Level</w:t>
            </w:r>
          </w:p>
        </w:tc>
        <w:tc>
          <w:tcPr>
            <w:tcW w:type="dxa" w:w="4986"/>
          </w:tcPr>
          <w:p>
            <w:r>
              <w:t>0,117</w:t>
            </w:r>
          </w:p>
        </w:tc>
      </w:tr>
      <w:tr>
        <w:tc>
          <w:tcPr>
            <w:tcW w:type="dxa" w:w="4986"/>
          </w:tcPr>
          <w:p>
            <w:r>
              <w:t>Infertility</w:t>
            </w:r>
          </w:p>
        </w:tc>
        <w:tc>
          <w:tcPr>
            <w:tcW w:type="dxa" w:w="4986"/>
          </w:tcPr>
          <w:p>
            <w:r>
              <w:t>0,096</w:t>
            </w:r>
          </w:p>
        </w:tc>
      </w:tr>
      <w:tr>
        <w:tc>
          <w:tcPr>
            <w:tcW w:type="dxa" w:w="4986"/>
          </w:tcPr>
          <w:p>
            <w:r>
              <w:t>Menstrual_Irregularity</w:t>
            </w:r>
          </w:p>
        </w:tc>
        <w:tc>
          <w:tcPr>
            <w:tcW w:type="dxa" w:w="4986"/>
          </w:tcPr>
          <w:p>
            <w:r>
              <w:t>0,095</w:t>
            </w:r>
          </w:p>
        </w:tc>
      </w:tr>
      <w:tr>
        <w:tc>
          <w:tcPr>
            <w:tcW w:type="dxa" w:w="4986"/>
          </w:tcPr>
          <w:p>
            <w:r>
              <w:t>BMI</w:t>
            </w:r>
          </w:p>
        </w:tc>
        <w:tc>
          <w:tcPr>
            <w:tcW w:type="dxa" w:w="4986"/>
          </w:tcPr>
          <w:p>
            <w:r>
              <w:t>0,080</w:t>
            </w:r>
          </w:p>
        </w:tc>
      </w:tr>
      <w:tr>
        <w:tc>
          <w:tcPr>
            <w:tcW w:type="dxa" w:w="4986"/>
          </w:tcPr>
          <w:p>
            <w:r>
              <w:t>Age</w:t>
            </w:r>
          </w:p>
        </w:tc>
        <w:tc>
          <w:tcPr>
            <w:tcW w:type="dxa" w:w="4986"/>
          </w:tcPr>
          <w:p>
            <w:r>
              <w:t>−0,012</w:t>
            </w:r>
          </w:p>
        </w:tc>
      </w:tr>
    </w:tbl>
    <w:p>
      <w:pPr>
        <w:pStyle w:val="Heading1"/>
      </w:pPr>
      <w:r>
        <w:t>4. Modélisation</w:t>
      </w:r>
    </w:p>
    <w:p>
      <w:pPr>
        <w:pStyle w:val="Heading2"/>
      </w:pPr>
      <w:r>
        <w:t>4.1 Protocole</w:t>
      </w:r>
    </w:p>
    <w:p>
      <w:pPr>
        <w:pStyle w:val="ListBullet"/>
      </w:pPr>
      <w:r>
        <w:t>Split : 80 % entraînement / 20 % test, stratifié sur Diagnosis (random_state=42)</w:t>
      </w:r>
    </w:p>
    <w:p>
      <w:pPr>
        <w:pStyle w:val="ListBullet"/>
      </w:pPr>
      <w:r>
        <w:t>Prétraitement : StandardScaler dans tous les pipelines</w:t>
      </w:r>
    </w:p>
    <w:p>
      <w:pPr>
        <w:pStyle w:val="ListBullet"/>
      </w:pPr>
      <w:r>
        <w:t>Validation : Stratified K-Fold 5-plis sur le F1-score</w:t>
      </w:r>
    </w:p>
    <w:p>
      <w:pPr>
        <w:pStyle w:val="ListBullet"/>
      </w:pPr>
      <w:r>
        <w:t>Évaluation finale : Accuracy, Precision, Recall, F1, ROC-AUC</w:t>
      </w:r>
    </w:p>
    <w:p>
      <w:pPr>
        <w:pStyle w:val="ListBullet"/>
      </w:pPr>
      <w:r>
        <w:t>Déséquilibre : class_weight='balanced' pour LogReg, SVM et Random Forest</w:t>
      </w:r>
    </w:p>
    <w:p>
      <w:pPr>
        <w:pStyle w:val="Heading2"/>
      </w:pPr>
      <w:r>
        <w:t>4.2 Modèles comparés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Modèle</w:t>
            </w:r>
          </w:p>
        </w:tc>
        <w:tc>
          <w:tcPr>
            <w:tcW w:type="dxa" w:w="3324"/>
          </w:tcPr>
          <w:p>
            <w:r/>
            <w:r>
              <w:rPr>
                <w:b/>
              </w:rPr>
              <w:t>Hyperparamètres clés</w:t>
            </w:r>
          </w:p>
        </w:tc>
      </w:tr>
      <w:tr>
        <w:tc>
          <w:tcPr>
            <w:tcW w:type="dxa" w:w="3324"/>
          </w:tcPr>
          <w:p>
            <w:r>
              <w:t>1</w:t>
            </w:r>
          </w:p>
        </w:tc>
        <w:tc>
          <w:tcPr>
            <w:tcW w:type="dxa" w:w="3324"/>
          </w:tcPr>
          <w:p>
            <w:r>
              <w:t>Logistic Regression</w:t>
            </w:r>
          </w:p>
        </w:tc>
        <w:tc>
          <w:tcPr>
            <w:tcW w:type="dxa" w:w="3324"/>
          </w:tcPr>
          <w:p>
            <w:r>
              <w:t>max_iter=1000, class_weight='balanced'</w:t>
            </w:r>
          </w:p>
        </w:tc>
      </w:tr>
      <w:tr>
        <w:tc>
          <w:tcPr>
            <w:tcW w:type="dxa" w:w="3324"/>
          </w:tcPr>
          <w:p>
            <w:r>
              <w:t>2</w:t>
            </w:r>
          </w:p>
        </w:tc>
        <w:tc>
          <w:tcPr>
            <w:tcW w:type="dxa" w:w="3324"/>
          </w:tcPr>
          <w:p>
            <w:r>
              <w:t>K-Nearest Neighbors</w:t>
            </w:r>
          </w:p>
        </w:tc>
        <w:tc>
          <w:tcPr>
            <w:tcW w:type="dxa" w:w="3324"/>
          </w:tcPr>
          <w:p>
            <w:r>
              <w:t>n_neighbors=7</w:t>
            </w:r>
          </w:p>
        </w:tc>
      </w:tr>
      <w:tr>
        <w:tc>
          <w:tcPr>
            <w:tcW w:type="dxa" w:w="3324"/>
          </w:tcPr>
          <w:p>
            <w:r>
              <w:t>3</w:t>
            </w:r>
          </w:p>
        </w:tc>
        <w:tc>
          <w:tcPr>
            <w:tcW w:type="dxa" w:w="3324"/>
          </w:tcPr>
          <w:p>
            <w:r>
              <w:t>SVM</w:t>
            </w:r>
          </w:p>
        </w:tc>
        <w:tc>
          <w:tcPr>
            <w:tcW w:type="dxa" w:w="3324"/>
          </w:tcPr>
          <w:p>
            <w:r>
              <w:t>kernel=RBF, class_weight='balanced', probability=True</w:t>
            </w:r>
          </w:p>
        </w:tc>
      </w:tr>
      <w:tr>
        <w:tc>
          <w:tcPr>
            <w:tcW w:type="dxa" w:w="3324"/>
          </w:tcPr>
          <w:p>
            <w:r>
              <w:t>4</w:t>
            </w:r>
          </w:p>
        </w:tc>
        <w:tc>
          <w:tcPr>
            <w:tcW w:type="dxa" w:w="3324"/>
          </w:tcPr>
          <w:p>
            <w:r>
              <w:t>Random Forest</w:t>
            </w:r>
          </w:p>
        </w:tc>
        <w:tc>
          <w:tcPr>
            <w:tcW w:type="dxa" w:w="3324"/>
          </w:tcPr>
          <w:p>
            <w:r>
              <w:t>n_estimators=200, class_weight='balanced'</w:t>
            </w:r>
          </w:p>
        </w:tc>
      </w:tr>
      <w:tr>
        <w:tc>
          <w:tcPr>
            <w:tcW w:type="dxa" w:w="3324"/>
          </w:tcPr>
          <w:p>
            <w:r>
              <w:t>5</w:t>
            </w:r>
          </w:p>
        </w:tc>
        <w:tc>
          <w:tcPr>
            <w:tcW w:type="dxa" w:w="3324"/>
          </w:tcPr>
          <w:p>
            <w:r>
              <w:t>Gradient Boosting</w:t>
            </w:r>
          </w:p>
        </w:tc>
        <w:tc>
          <w:tcPr>
            <w:tcW w:type="dxa" w:w="3324"/>
          </w:tcPr>
          <w:p>
            <w:r>
              <w:t>n_estimators=200</w:t>
            </w:r>
          </w:p>
        </w:tc>
      </w:tr>
    </w:tbl>
    <w:p>
      <w:pPr>
        <w:pStyle w:val="Heading2"/>
      </w:pPr>
      <w:r>
        <w:t>4.3 Validation croisée (5-fold)</w:t>
      </w:r>
    </w:p>
    <w:p>
      <w:pPr>
        <w:jc w:val="center"/>
      </w:pPr>
      <w:r>
        <w:drawing>
          <wp:inline xmlns:a="http://schemas.openxmlformats.org/drawingml/2006/main" xmlns:pic="http://schemas.openxmlformats.org/drawingml/2006/picture">
            <wp:extent cx="5040000" cy="2483726"/>
            <wp:docPr id="7" name="Picture 7"/>
            <wp:cNvGraphicFramePr>
              <a:graphicFrameLocks noChangeAspect="1"/>
            </wp:cNvGraphicFramePr>
            <a:graphic>
              <a:graphicData uri="http://schemas.openxmlformats.org/drawingml/2006/picture">
                <pic:pic>
                  <pic:nvPicPr>
                    <pic:cNvPr id="0" name="07_cv_f1_scores.png"/>
                    <pic:cNvPicPr/>
                  </pic:nvPicPr>
                  <pic:blipFill>
                    <a:blip r:embed="rId15"/>
                    <a:stretch>
                      <a:fillRect/>
                    </a:stretch>
                  </pic:blipFill>
                  <pic:spPr>
                    <a:xfrm>
                      <a:off x="0" y="0"/>
                      <a:ext cx="5040000" cy="2483726"/>
                    </a:xfrm>
                    <a:prstGeom prst="rect"/>
                  </pic:spPr>
                </pic:pic>
              </a:graphicData>
            </a:graphic>
          </wp:inline>
        </w:drawing>
      </w:r>
    </w:p>
    <w:p>
      <w:pPr>
        <w:jc w:val="center"/>
      </w:pPr>
      <w:r>
        <w:rPr>
          <w:i/>
          <w:sz w:val="18"/>
        </w:rPr>
        <w:t>Figure 7 — F1-score en validation croisée</w:t>
      </w:r>
    </w:p>
    <w:p>
      <w:r>
        <w:rPr>
          <w:b w:val="0"/>
          <w:i w:val="0"/>
        </w:rPr>
        <w:t>La dispersion des scores reste faible d'un pli à l'autre, ce qui indique des modèles stables.</w:t>
      </w:r>
    </w:p>
    <w:p>
      <w:pPr>
        <w:pStyle w:val="Heading2"/>
      </w:pPr>
      <w:r>
        <w:t>4.4 Résultats sur le test set</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
              <w:rPr>
                <w:b/>
              </w:rPr>
              <w:t>Modèle</w:t>
            </w:r>
          </w:p>
        </w:tc>
        <w:tc>
          <w:tcPr>
            <w:tcW w:type="dxa" w:w="1662"/>
          </w:tcPr>
          <w:p>
            <w:r/>
            <w:r>
              <w:rPr>
                <w:b/>
              </w:rPr>
              <w:t>Accuracy</w:t>
            </w:r>
          </w:p>
        </w:tc>
        <w:tc>
          <w:tcPr>
            <w:tcW w:type="dxa" w:w="1662"/>
          </w:tcPr>
          <w:p>
            <w:r/>
            <w:r>
              <w:rPr>
                <w:b/>
              </w:rPr>
              <w:t>Precision</w:t>
            </w:r>
          </w:p>
        </w:tc>
        <w:tc>
          <w:tcPr>
            <w:tcW w:type="dxa" w:w="1662"/>
          </w:tcPr>
          <w:p>
            <w:r/>
            <w:r>
              <w:rPr>
                <w:b/>
              </w:rPr>
              <w:t>Recall</w:t>
            </w:r>
          </w:p>
        </w:tc>
        <w:tc>
          <w:tcPr>
            <w:tcW w:type="dxa" w:w="1662"/>
          </w:tcPr>
          <w:p>
            <w:r/>
            <w:r>
              <w:rPr>
                <w:b/>
              </w:rPr>
              <w:t>F1</w:t>
            </w:r>
          </w:p>
        </w:tc>
        <w:tc>
          <w:tcPr>
            <w:tcW w:type="dxa" w:w="1662"/>
          </w:tcPr>
          <w:p>
            <w:r/>
            <w:r>
              <w:rPr>
                <w:b/>
              </w:rPr>
              <w:t>ROC-AUC</w:t>
            </w:r>
          </w:p>
        </w:tc>
      </w:tr>
      <w:tr>
        <w:tc>
          <w:tcPr>
            <w:tcW w:type="dxa" w:w="1662"/>
          </w:tcPr>
          <w:p>
            <w:r>
              <w:t>Logistic Regression</w:t>
            </w:r>
          </w:p>
        </w:tc>
        <w:tc>
          <w:tcPr>
            <w:tcW w:type="dxa" w:w="1662"/>
          </w:tcPr>
          <w:p>
            <w:r>
              <w:t>0,6095</w:t>
            </w:r>
          </w:p>
        </w:tc>
        <w:tc>
          <w:tcPr>
            <w:tcW w:type="dxa" w:w="1662"/>
          </w:tcPr>
          <w:p>
            <w:r>
              <w:t>0,5172</w:t>
            </w:r>
          </w:p>
        </w:tc>
        <w:tc>
          <w:tcPr>
            <w:tcW w:type="dxa" w:w="1662"/>
          </w:tcPr>
          <w:p>
            <w:r>
              <w:t>0,6434</w:t>
            </w:r>
          </w:p>
        </w:tc>
        <w:tc>
          <w:tcPr>
            <w:tcW w:type="dxa" w:w="1662"/>
          </w:tcPr>
          <w:p>
            <w:r>
              <w:t>0,5735</w:t>
            </w:r>
          </w:p>
        </w:tc>
        <w:tc>
          <w:tcPr>
            <w:tcW w:type="dxa" w:w="1662"/>
          </w:tcPr>
          <w:p>
            <w:r>
              <w:t>0,6575</w:t>
            </w:r>
          </w:p>
        </w:tc>
      </w:tr>
      <w:tr>
        <w:tc>
          <w:tcPr>
            <w:tcW w:type="dxa" w:w="1662"/>
          </w:tcPr>
          <w:p>
            <w:r>
              <w:t>KNN</w:t>
            </w:r>
          </w:p>
        </w:tc>
        <w:tc>
          <w:tcPr>
            <w:tcW w:type="dxa" w:w="1662"/>
          </w:tcPr>
          <w:p>
            <w:r>
              <w:t>0,5945</w:t>
            </w:r>
          </w:p>
        </w:tc>
        <w:tc>
          <w:tcPr>
            <w:tcW w:type="dxa" w:w="1662"/>
          </w:tcPr>
          <w:p>
            <w:r>
              <w:t>0,5035</w:t>
            </w:r>
          </w:p>
        </w:tc>
        <w:tc>
          <w:tcPr>
            <w:tcW w:type="dxa" w:w="1662"/>
          </w:tcPr>
          <w:p>
            <w:r>
              <w:t>0,4363</w:t>
            </w:r>
          </w:p>
        </w:tc>
        <w:tc>
          <w:tcPr>
            <w:tcW w:type="dxa" w:w="1662"/>
          </w:tcPr>
          <w:p>
            <w:r>
              <w:t>0,4675</w:t>
            </w:r>
          </w:p>
        </w:tc>
        <w:tc>
          <w:tcPr>
            <w:tcW w:type="dxa" w:w="1662"/>
          </w:tcPr>
          <w:p>
            <w:r>
              <w:t>0,6003</w:t>
            </w:r>
          </w:p>
        </w:tc>
      </w:tr>
      <w:tr>
        <w:tc>
          <w:tcPr>
            <w:tcW w:type="dxa" w:w="1662"/>
          </w:tcPr>
          <w:p>
            <w:r>
              <w:t>SVM</w:t>
            </w:r>
          </w:p>
        </w:tc>
        <w:tc>
          <w:tcPr>
            <w:tcW w:type="dxa" w:w="1662"/>
          </w:tcPr>
          <w:p>
            <w:r>
              <w:t>0,6075</w:t>
            </w:r>
          </w:p>
        </w:tc>
        <w:tc>
          <w:tcPr>
            <w:tcW w:type="dxa" w:w="1662"/>
          </w:tcPr>
          <w:p>
            <w:r>
              <w:t>0,5149</w:t>
            </w:r>
          </w:p>
        </w:tc>
        <w:tc>
          <w:tcPr>
            <w:tcW w:type="dxa" w:w="1662"/>
          </w:tcPr>
          <w:p>
            <w:r>
              <w:t>0,6569</w:t>
            </w:r>
          </w:p>
        </w:tc>
        <w:tc>
          <w:tcPr>
            <w:tcW w:type="dxa" w:w="1662"/>
          </w:tcPr>
          <w:p>
            <w:r>
              <w:t>0,5773</w:t>
            </w:r>
          </w:p>
        </w:tc>
        <w:tc>
          <w:tcPr>
            <w:tcW w:type="dxa" w:w="1662"/>
          </w:tcPr>
          <w:p>
            <w:r>
              <w:t>0,6422</w:t>
            </w:r>
          </w:p>
        </w:tc>
      </w:tr>
      <w:tr>
        <w:tc>
          <w:tcPr>
            <w:tcW w:type="dxa" w:w="1662"/>
          </w:tcPr>
          <w:p>
            <w:r>
              <w:t>Random Forest</w:t>
            </w:r>
          </w:p>
        </w:tc>
        <w:tc>
          <w:tcPr>
            <w:tcW w:type="dxa" w:w="1662"/>
          </w:tcPr>
          <w:p>
            <w:r>
              <w:t>0,6030</w:t>
            </w:r>
          </w:p>
        </w:tc>
        <w:tc>
          <w:tcPr>
            <w:tcW w:type="dxa" w:w="1662"/>
          </w:tcPr>
          <w:p>
            <w:r>
              <w:t>0,5159</w:t>
            </w:r>
          </w:p>
        </w:tc>
        <w:tc>
          <w:tcPr>
            <w:tcW w:type="dxa" w:w="1662"/>
          </w:tcPr>
          <w:p>
            <w:r>
              <w:t>0,4375</w:t>
            </w:r>
          </w:p>
        </w:tc>
        <w:tc>
          <w:tcPr>
            <w:tcW w:type="dxa" w:w="1662"/>
          </w:tcPr>
          <w:p>
            <w:r>
              <w:t>0,4735</w:t>
            </w:r>
          </w:p>
        </w:tc>
        <w:tc>
          <w:tcPr>
            <w:tcW w:type="dxa" w:w="1662"/>
          </w:tcPr>
          <w:p>
            <w:r>
              <w:t>0,6032</w:t>
            </w:r>
          </w:p>
        </w:tc>
      </w:tr>
      <w:tr>
        <w:tc>
          <w:tcPr>
            <w:tcW w:type="dxa" w:w="1662"/>
          </w:tcPr>
          <w:p>
            <w:r>
              <w:t>Gradient Boosting</w:t>
            </w:r>
          </w:p>
        </w:tc>
        <w:tc>
          <w:tcPr>
            <w:tcW w:type="dxa" w:w="1662"/>
          </w:tcPr>
          <w:p>
            <w:r>
              <w:t>0,6195</w:t>
            </w:r>
          </w:p>
        </w:tc>
        <w:tc>
          <w:tcPr>
            <w:tcW w:type="dxa" w:w="1662"/>
          </w:tcPr>
          <w:p>
            <w:r>
              <w:t>0,5518</w:t>
            </w:r>
          </w:p>
        </w:tc>
        <w:tc>
          <w:tcPr>
            <w:tcW w:type="dxa" w:w="1662"/>
          </w:tcPr>
          <w:p>
            <w:r>
              <w:t>0,3591</w:t>
            </w:r>
          </w:p>
        </w:tc>
        <w:tc>
          <w:tcPr>
            <w:tcW w:type="dxa" w:w="1662"/>
          </w:tcPr>
          <w:p>
            <w:r>
              <w:t>0,4350</w:t>
            </w:r>
          </w:p>
        </w:tc>
        <w:tc>
          <w:tcPr>
            <w:tcW w:type="dxa" w:w="1662"/>
          </w:tcPr>
          <w:p>
            <w:r>
              <w:t>0,6380</w:t>
            </w:r>
          </w:p>
        </w:tc>
      </w:tr>
    </w:tbl>
    <w:p>
      <w:pPr>
        <w:jc w:val="center"/>
      </w:pPr>
      <w:r>
        <w:drawing>
          <wp:inline xmlns:a="http://schemas.openxmlformats.org/drawingml/2006/main" xmlns:pic="http://schemas.openxmlformats.org/drawingml/2006/picture">
            <wp:extent cx="5760000" cy="2359127"/>
            <wp:docPr id="8" name="Picture 8"/>
            <wp:cNvGraphicFramePr>
              <a:graphicFrameLocks noChangeAspect="1"/>
            </wp:cNvGraphicFramePr>
            <a:graphic>
              <a:graphicData uri="http://schemas.openxmlformats.org/drawingml/2006/picture">
                <pic:pic>
                  <pic:nvPicPr>
                    <pic:cNvPr id="0" name="08_metric_comparison.png"/>
                    <pic:cNvPicPr/>
                  </pic:nvPicPr>
                  <pic:blipFill>
                    <a:blip r:embed="rId16"/>
                    <a:stretch>
                      <a:fillRect/>
                    </a:stretch>
                  </pic:blipFill>
                  <pic:spPr>
                    <a:xfrm>
                      <a:off x="0" y="0"/>
                      <a:ext cx="5760000" cy="2359127"/>
                    </a:xfrm>
                    <a:prstGeom prst="rect"/>
                  </pic:spPr>
                </pic:pic>
              </a:graphicData>
            </a:graphic>
          </wp:inline>
        </w:drawing>
      </w:r>
    </w:p>
    <w:p>
      <w:pPr>
        <w:jc w:val="center"/>
      </w:pPr>
      <w:r>
        <w:rPr>
          <w:i/>
          <w:sz w:val="18"/>
        </w:rPr>
        <w:t>Figure 8 — Comparaison des métriques par modèle</w:t>
      </w:r>
    </w:p>
    <w:p>
      <w:r>
        <w:rPr>
          <w:b/>
          <w:i w:val="0"/>
        </w:rPr>
        <w:t>Lecture :</w:t>
      </w:r>
    </w:p>
    <w:p>
      <w:pPr>
        <w:pStyle w:val="ListBullet"/>
      </w:pPr>
      <w:r>
        <w:t>SVM obtient le meilleur F1 grâce à un excellent rappel (65,7 %).</w:t>
      </w:r>
    </w:p>
    <w:p>
      <w:pPr>
        <w:pStyle w:val="ListBullet"/>
      </w:pPr>
      <w:r>
        <w:t>Logistic Regression est très proche sur F1 (0,574) et meilleur sur ROC-AUC (0,658) — un bon compromis performance / interprétabilité.</w:t>
      </w:r>
    </w:p>
    <w:p>
      <w:pPr>
        <w:pStyle w:val="ListBullet"/>
      </w:pPr>
      <w:r>
        <w:t>Gradient Boosting a la meilleure accuracy, mais un rappel faible (36 %) : il manque beaucoup de cas positifs.</w:t>
      </w:r>
    </w:p>
    <w:p>
      <w:pPr>
        <w:pStyle w:val="ListBullet"/>
      </w:pPr>
      <w:r>
        <w:t>KNN et Random Forest sont en retrait, avec des rappels faibles.</w:t>
      </w:r>
    </w:p>
    <w:p>
      <w:pPr>
        <w:pStyle w:val="Heading2"/>
      </w:pPr>
      <w:r>
        <w:t>4.5 Courbes ROC</w:t>
      </w:r>
    </w:p>
    <w:p>
      <w:pPr>
        <w:jc w:val="center"/>
      </w:pPr>
      <w:r>
        <w:drawing>
          <wp:inline xmlns:a="http://schemas.openxmlformats.org/drawingml/2006/main" xmlns:pic="http://schemas.openxmlformats.org/drawingml/2006/picture">
            <wp:extent cx="4680000" cy="4088162"/>
            <wp:docPr id="9" name="Picture 9"/>
            <wp:cNvGraphicFramePr>
              <a:graphicFrameLocks noChangeAspect="1"/>
            </wp:cNvGraphicFramePr>
            <a:graphic>
              <a:graphicData uri="http://schemas.openxmlformats.org/drawingml/2006/picture">
                <pic:pic>
                  <pic:nvPicPr>
                    <pic:cNvPr id="0" name="09_roc_curves.png"/>
                    <pic:cNvPicPr/>
                  </pic:nvPicPr>
                  <pic:blipFill>
                    <a:blip r:embed="rId17"/>
                    <a:stretch>
                      <a:fillRect/>
                    </a:stretch>
                  </pic:blipFill>
                  <pic:spPr>
                    <a:xfrm>
                      <a:off x="0" y="0"/>
                      <a:ext cx="4680000" cy="4088162"/>
                    </a:xfrm>
                    <a:prstGeom prst="rect"/>
                  </pic:spPr>
                </pic:pic>
              </a:graphicData>
            </a:graphic>
          </wp:inline>
        </w:drawing>
      </w:r>
    </w:p>
    <w:p>
      <w:pPr>
        <w:jc w:val="center"/>
      </w:pPr>
      <w:r>
        <w:rPr>
          <w:i/>
          <w:sz w:val="18"/>
        </w:rPr>
        <w:t>Figure 9 — Courbes ROC</w:t>
      </w:r>
    </w:p>
    <w:p>
      <w:r>
        <w:rPr>
          <w:b w:val="0"/>
          <w:i w:val="0"/>
        </w:rPr>
        <w:t>La hiérarchie des AUC confirme la robustesse de la Logistic Regression comme modèle de référence.</w:t>
      </w:r>
    </w:p>
    <w:p>
      <w:pPr>
        <w:pStyle w:val="Heading2"/>
      </w:pPr>
      <w:r>
        <w:t>4.6 Matrices de confusion</w:t>
      </w:r>
    </w:p>
    <w:p>
      <w:pPr>
        <w:jc w:val="center"/>
      </w:pPr>
      <w:r>
        <w:drawing>
          <wp:inline xmlns:a="http://schemas.openxmlformats.org/drawingml/2006/main" xmlns:pic="http://schemas.openxmlformats.org/drawingml/2006/picture">
            <wp:extent cx="5760000" cy="1178127"/>
            <wp:docPr id="10" name="Picture 10"/>
            <wp:cNvGraphicFramePr>
              <a:graphicFrameLocks noChangeAspect="1"/>
            </wp:cNvGraphicFramePr>
            <a:graphic>
              <a:graphicData uri="http://schemas.openxmlformats.org/drawingml/2006/picture">
                <pic:pic>
                  <pic:nvPicPr>
                    <pic:cNvPr id="0" name="10_confusion_matrices.png"/>
                    <pic:cNvPicPr/>
                  </pic:nvPicPr>
                  <pic:blipFill>
                    <a:blip r:embed="rId18"/>
                    <a:stretch>
                      <a:fillRect/>
                    </a:stretch>
                  </pic:blipFill>
                  <pic:spPr>
                    <a:xfrm>
                      <a:off x="0" y="0"/>
                      <a:ext cx="5760000" cy="1178127"/>
                    </a:xfrm>
                    <a:prstGeom prst="rect"/>
                  </pic:spPr>
                </pic:pic>
              </a:graphicData>
            </a:graphic>
          </wp:inline>
        </w:drawing>
      </w:r>
    </w:p>
    <w:p>
      <w:pPr>
        <w:jc w:val="center"/>
      </w:pPr>
      <w:r>
        <w:rPr>
          <w:i/>
          <w:sz w:val="18"/>
        </w:rPr>
        <w:t>Figure 10 — Matrices de confusion</w:t>
      </w:r>
    </w:p>
    <w:p>
      <w:r>
        <w:rPr>
          <w:b w:val="0"/>
          <w:i w:val="0"/>
        </w:rPr>
        <w:t>Les modèles équilibrés (LogReg, SVM) répartissent mieux les erreurs. Les modèles non équilibrés (GB, KNN, RF) sont biaisés vers la classe majoritaire, réduisant la détection des cas positifs.</w:t>
      </w:r>
    </w:p>
    <w:p>
      <w:pPr>
        <w:pStyle w:val="Heading2"/>
      </w:pPr>
      <w:r>
        <w:t>4.7 Importance des variables</w:t>
      </w:r>
    </w:p>
    <w:p>
      <w:pPr>
        <w:jc w:val="center"/>
      </w:pPr>
      <w:r>
        <w:drawing>
          <wp:inline xmlns:a="http://schemas.openxmlformats.org/drawingml/2006/main" xmlns:pic="http://schemas.openxmlformats.org/drawingml/2006/picture">
            <wp:extent cx="5760000" cy="1805632"/>
            <wp:docPr id="11" name="Picture 11"/>
            <wp:cNvGraphicFramePr>
              <a:graphicFrameLocks noChangeAspect="1"/>
            </wp:cNvGraphicFramePr>
            <a:graphic>
              <a:graphicData uri="http://schemas.openxmlformats.org/drawingml/2006/picture">
                <pic:pic>
                  <pic:nvPicPr>
                    <pic:cNvPr id="0" name="11_feature_importance.png"/>
                    <pic:cNvPicPr/>
                  </pic:nvPicPr>
                  <pic:blipFill>
                    <a:blip r:embed="rId19"/>
                    <a:stretch>
                      <a:fillRect/>
                    </a:stretch>
                  </pic:blipFill>
                  <pic:spPr>
                    <a:xfrm>
                      <a:off x="0" y="0"/>
                      <a:ext cx="5760000" cy="1805632"/>
                    </a:xfrm>
                    <a:prstGeom prst="rect"/>
                  </pic:spPr>
                </pic:pic>
              </a:graphicData>
            </a:graphic>
          </wp:inline>
        </w:drawing>
      </w:r>
    </w:p>
    <w:p>
      <w:pPr>
        <w:jc w:val="center"/>
      </w:pPr>
      <w:r>
        <w:rPr>
          <w:i/>
          <w:sz w:val="18"/>
        </w:rPr>
        <w:t>Figure 11 — Importance des variables (modèles tree-based)</w:t>
      </w:r>
    </w:p>
    <w:p>
      <w:r>
        <w:rPr>
          <w:b w:val="0"/>
          <w:i w:val="0"/>
        </w:rPr>
        <w:t>Les deux modèles tree-based confirment l'importance de Hormone_Level_Abnormality et Chronic_Pain_Level. L'âge et le BMI contribuent également (bien que faiblement corrélés linéairement), ce qui suggère une information capturée via des interactions non linéaires.</w:t>
      </w:r>
    </w:p>
    <w:p>
      <w:pPr>
        <w:pStyle w:val="Heading1"/>
      </w:pPr>
      <w:r>
        <w:t>5. Discussion</w:t>
      </w:r>
    </w:p>
    <w:p>
      <w:pPr>
        <w:pStyle w:val="Heading2"/>
      </w:pPr>
      <w:r>
        <w:t>5.1 Pourquoi des performances modérées ?</w:t>
      </w:r>
    </w:p>
    <w:p>
      <w:r>
        <w:rPr>
          <w:b w:val="0"/>
          <w:i w:val="0"/>
        </w:rPr>
        <w:t>Les scores plafonnent autour de 0,58 de F1 et 0,66 de ROC-AUC. Plusieurs raisons :</w:t>
      </w:r>
    </w:p>
    <w:p>
      <w:pPr>
        <w:pStyle w:val="ListNumber"/>
      </w:pPr>
      <w:r>
        <w:t>Nature synthétique du dataset : la relation entre variables et cible inclut une part significative de bruit aléatoire.</w:t>
      </w:r>
    </w:p>
    <w:p>
      <w:pPr>
        <w:pStyle w:val="ListNumber"/>
      </w:pPr>
      <w:r>
        <w:t>Faible nombre de variables (6 features) : peu de signal disponible.</w:t>
      </w:r>
    </w:p>
    <w:p>
      <w:pPr>
        <w:pStyle w:val="ListNumber"/>
      </w:pPr>
      <w:r>
        <w:t>Corrélations linéaires faibles : même la variable la plus corrélée (hormones) reste à r = 0,19.</w:t>
      </w:r>
    </w:p>
    <w:p>
      <w:pPr>
        <w:pStyle w:val="ListNumber"/>
      </w:pPr>
      <w:r>
        <w:t>Absence de variables cliniques importantes : antécédents familiaux, type de douleur, imagerie, etc.</w:t>
      </w:r>
    </w:p>
    <w:p>
      <w:pPr>
        <w:pStyle w:val="Heading2"/>
      </w:pPr>
      <w:r>
        <w:t>5.2 Choix du modèle selon le contexte</w:t>
      </w:r>
    </w:p>
    <w:tbl>
      <w:tblPr>
        <w:tblStyle w:val="LightGrid-Accent1"/>
        <w:tblW w:type="auto" w:w="0"/>
        <w:tblLook w:firstColumn="1" w:firstRow="1" w:lastColumn="0" w:lastRow="0" w:noHBand="0" w:noVBand="1" w:val="04A0"/>
      </w:tblPr>
      <w:tblGrid>
        <w:gridCol w:w="4986"/>
        <w:gridCol w:w="4986"/>
      </w:tblGrid>
      <w:tr>
        <w:tc>
          <w:tcPr>
            <w:tcW w:type="dxa" w:w="4986"/>
          </w:tcPr>
          <w:p>
            <w:r/>
            <w:r>
              <w:rPr>
                <w:b/>
              </w:rPr>
              <w:t>Objectif</w:t>
            </w:r>
          </w:p>
        </w:tc>
        <w:tc>
          <w:tcPr>
            <w:tcW w:type="dxa" w:w="4986"/>
          </w:tcPr>
          <w:p>
            <w:r/>
            <w:r>
              <w:rPr>
                <w:b/>
              </w:rPr>
              <w:t>Modèle recommandé</w:t>
            </w:r>
          </w:p>
        </w:tc>
      </w:tr>
      <w:tr>
        <w:tc>
          <w:tcPr>
            <w:tcW w:type="dxa" w:w="4986"/>
          </w:tcPr>
          <w:p>
            <w:r>
              <w:t>Maximiser le rappel (dépistage)</w:t>
            </w:r>
          </w:p>
        </w:tc>
        <w:tc>
          <w:tcPr>
            <w:tcW w:type="dxa" w:w="4986"/>
          </w:tcPr>
          <w:p>
            <w:r>
              <w:t>SVM ou Logistic Regression</w:t>
            </w:r>
          </w:p>
        </w:tc>
      </w:tr>
      <w:tr>
        <w:tc>
          <w:tcPr>
            <w:tcW w:type="dxa" w:w="4986"/>
          </w:tcPr>
          <w:p>
            <w:r>
              <w:t>Interprétabilité (coefficients lisibles)</w:t>
            </w:r>
          </w:p>
        </w:tc>
        <w:tc>
          <w:tcPr>
            <w:tcW w:type="dxa" w:w="4986"/>
          </w:tcPr>
          <w:p>
            <w:r>
              <w:t>Logistic Regression</w:t>
            </w:r>
          </w:p>
        </w:tc>
      </w:tr>
      <w:tr>
        <w:tc>
          <w:tcPr>
            <w:tcW w:type="dxa" w:w="4986"/>
          </w:tcPr>
          <w:p>
            <w:r>
              <w:t>Meilleur compromis global</w:t>
            </w:r>
          </w:p>
        </w:tc>
        <w:tc>
          <w:tcPr>
            <w:tcW w:type="dxa" w:w="4986"/>
          </w:tcPr>
          <w:p>
            <w:r>
              <w:t>Logistic Regression</w:t>
            </w:r>
          </w:p>
        </w:tc>
      </w:tr>
    </w:tbl>
    <w:p>
      <w:r>
        <w:rPr>
          <w:b w:val="0"/>
          <w:i w:val="0"/>
        </w:rPr>
        <w:t>Dans un contexte médical de dépistage, un rappel élevé est crucial : un faux négatif (patiente malade classée saine) est plus coûteux qu'un faux positif. La Logistic Regression combine cet avantage à une interprétabilité qui facilite l'acceptation clinique.</w:t>
      </w:r>
    </w:p>
    <w:p>
      <w:pPr>
        <w:pStyle w:val="Heading1"/>
      </w:pPr>
      <w:r>
        <w:t>6. Pistes d'amélioration</w:t>
      </w:r>
    </w:p>
    <w:p>
      <w:pPr>
        <w:pStyle w:val="ListNumber"/>
      </w:pPr>
      <w:r>
        <w:t>Tuning d'hyperparamètres : GridSearchCV ou RandomizedSearchCV.</w:t>
      </w:r>
    </w:p>
    <w:p>
      <w:pPr>
        <w:pStyle w:val="ListNumber"/>
      </w:pPr>
      <w:r>
        <w:t>Ajustement du seuil de décision pour privilégier le rappel.</w:t>
      </w:r>
    </w:p>
    <w:p>
      <w:pPr>
        <w:pStyle w:val="ListNumber"/>
      </w:pPr>
      <w:r>
        <w:t>Feature engineering : interactions (Age × Pain, BMI × Hormones), binning, polynômes.</w:t>
      </w:r>
    </w:p>
    <w:p>
      <w:pPr>
        <w:pStyle w:val="ListNumber"/>
      </w:pPr>
      <w:r>
        <w:t>Modèles avancés : XGBoost, LightGBM, CatBoost, stacking.</w:t>
      </w:r>
    </w:p>
    <w:p>
      <w:pPr>
        <w:pStyle w:val="ListNumber"/>
      </w:pPr>
      <w:r>
        <w:t>Techniques de rééquilibrage : SMOTE, undersampling, scale_pos_weight.</w:t>
      </w:r>
    </w:p>
    <w:p>
      <w:pPr>
        <w:pStyle w:val="ListNumber"/>
      </w:pPr>
      <w:r>
        <w:t>Interprétabilité approfondie : SHAP values.</w:t>
      </w:r>
    </w:p>
    <w:p>
      <w:pPr>
        <w:pStyle w:val="ListNumber"/>
      </w:pPr>
      <w:r>
        <w:t>Validation externe sur un dataset réel si disponible.</w:t>
      </w:r>
    </w:p>
    <w:p>
      <w:pPr>
        <w:pStyle w:val="Heading1"/>
      </w:pPr>
      <w:r>
        <w:t>7. Reproductibilité</w:t>
      </w:r>
    </w:p>
    <w:p>
      <w:r>
        <w:rPr>
          <w:b/>
          <w:i w:val="0"/>
        </w:rPr>
        <w:t>Installation et exécution :</w:t>
      </w:r>
    </w:p>
    <w:p>
      <w:r>
        <w:rPr>
          <w:rFonts w:ascii="Menlo" w:hAnsi="Menlo"/>
          <w:sz w:val="18"/>
        </w:rPr>
        <w:t>git clone https://github.com/kypo-studio/endometriosis-classification.git</w:t>
        <w:br/>
        <w:t>cd endometriosis-classification</w:t>
        <w:br/>
        <w:t>uv sync</w:t>
        <w:br/>
        <w:t>uv run kaggle datasets download -d michaelanietie/endometriosis-dataset -p data --unzip</w:t>
        <w:br/>
        <w:t>uv run python reports/generate_figures.py</w:t>
        <w:br/>
        <w:t>uv run jupyter lab</w:t>
      </w:r>
    </w:p>
    <w:p>
      <w:r>
        <w:rPr>
          <w:b/>
          <w:i w:val="0"/>
        </w:rPr>
        <w:t>Fichiers de référence :</w:t>
      </w:r>
    </w:p>
    <w:p>
      <w:pPr>
        <w:pStyle w:val="ListBullet"/>
      </w:pPr>
      <w:r>
        <w:t>notebooks/01_eda.ipynb — exploration détaillée</w:t>
      </w:r>
    </w:p>
    <w:p>
      <w:pPr>
        <w:pStyle w:val="ListBullet"/>
      </w:pPr>
      <w:r>
        <w:t>notebooks/02_modeling.ipynb — pipeline de modélisation</w:t>
      </w:r>
    </w:p>
    <w:p>
      <w:pPr>
        <w:pStyle w:val="ListBullet"/>
      </w:pPr>
      <w:r>
        <w:t>reports/generate_figures.py — script de régénération des figures</w:t>
      </w:r>
    </w:p>
    <w:p>
      <w:pPr>
        <w:pStyle w:val="ListBullet"/>
      </w:pPr>
      <w:r>
        <w:t>reports/model_results.csv — tableau brut des résultats</w:t>
      </w:r>
    </w:p>
    <w:p>
      <w:pPr>
        <w:pStyle w:val="Heading1"/>
      </w:pPr>
      <w:r>
        <w:t>8. Conclusion</w:t>
      </w:r>
    </w:p>
    <w:p>
      <w:r>
        <w:rPr>
          <w:b w:val="0"/>
          <w:i w:val="0"/>
        </w:rPr>
        <w:t>Ce projet montre qu'avec 6 variables cliniques simples, il est possible d'atteindre un pouvoir discriminant modéré (AUC ≈ 0,66) pour prédire l'endométriose sur un dataset synthétique. La Logistic Regression se dégage comme le meilleur compromis entre performance, robustesse et interprétabilité. Les gains les plus prometteurs viendraient de l'ajout de variables cliniques complémentaires et d'un tuning fin des hyperparamètres.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