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  <w:gridCol w:w="1672"/>
      </w:tblGrid>
      <w:tr w14:paraId="7589E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2" w:hRule="atLeast"/>
          <w:jc w:val="center"/>
        </w:trPr>
        <w:tc>
          <w:tcPr>
            <w:tcW w:w="8306" w:type="dxa"/>
            <w:vAlign w:val="top"/>
          </w:tcPr>
          <w:p w14:paraId="043CF756">
            <w:pPr>
              <w:pStyle w:val="31"/>
              <w:spacing w:after="120" w:line="540" w:lineRule="exac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000000"/>
                <w:sz w:val="44"/>
              </w:rPr>
              <w:t>姓 名</w:t>
            </w:r>
            <w:r>
              <w:rPr>
                <w:rFonts w:hint="eastAsia" w:ascii="微软雅黑" w:hAnsi="微软雅黑" w:eastAsia="微软雅黑" w:cs="微软雅黑"/>
                <w:b/>
                <w:color w:val="000000"/>
                <w:sz w:val="44"/>
                <w:lang w:val="en-US" w:eastAsia="zh-CN"/>
              </w:rPr>
              <w:t xml:space="preserve"> </w:t>
            </w:r>
            <w:r>
              <w:rPr>
                <w:rFonts w:hint="default" w:asciiTheme="minorEastAsia" w:hAnsiTheme="minorEastAsia" w:eastAsiaTheme="majorEastAsia" w:cstheme="minorEastAsia"/>
                <w:b w:val="0"/>
                <w:bCs/>
                <w:color w:val="000000"/>
                <w:sz w:val="44"/>
                <w:lang w:val="en-US" w:eastAsia="zh-CN"/>
              </w:rPr>
              <w:t>彭维缘</w:t>
            </w:r>
          </w:p>
          <w:p w14:paraId="27226201">
            <w:pPr>
              <w:spacing w:after="100" w:line="340" w:lineRule="exac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22222"/>
                <w:sz w:val="22"/>
              </w:rPr>
              <w:t>求职意向：</w:t>
            </w:r>
            <w:r>
              <w:rPr>
                <w:rFonts w:hint="eastAsia" w:cs="微软雅黑"/>
                <w:b/>
                <w:color w:val="222222"/>
                <w:sz w:val="22"/>
                <w:lang w:val="en-US" w:eastAsia="zh-CN"/>
              </w:rPr>
              <w:t>AI应用开发</w:t>
            </w:r>
          </w:p>
          <w:p w14:paraId="6FF173C8">
            <w:pPr>
              <w:spacing w:after="40" w:line="320" w:lineRule="exac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电话：</w:t>
            </w:r>
            <w:r>
              <w:rPr>
                <w:rFonts w:hint="eastAsia" w:cs="微软雅黑"/>
                <w:b w:val="0"/>
                <w:color w:val="666666"/>
                <w:sz w:val="20"/>
                <w:lang w:val="en-US" w:eastAsia="zh-CN"/>
              </w:rPr>
              <w:t>19913841398</w:t>
            </w: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 xml:space="preserve">  |  邮箱：</w:t>
            </w:r>
            <w:r>
              <w:rPr>
                <w:rFonts w:hint="eastAsia" w:cs="微软雅黑"/>
                <w:b w:val="0"/>
                <w:color w:val="666666"/>
                <w:sz w:val="20"/>
                <w:lang w:val="en-US" w:eastAsia="zh-CN"/>
              </w:rPr>
              <w:t>1781543779@qq.com</w:t>
            </w:r>
          </w:p>
          <w:p w14:paraId="7E233583">
            <w:pPr>
              <w:spacing w:after="0" w:line="320" w:lineRule="exact"/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GitHub / 个人主页：________________________________</w:t>
            </w:r>
          </w:p>
        </w:tc>
        <w:tc>
          <w:tcPr>
            <w:tcW w:w="1672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</w:tcBorders>
            <w:vAlign w:val="center"/>
          </w:tcPr>
          <w:p w14:paraId="6A6AC8A4">
            <w:pPr>
              <w:spacing w:before="500" w:after="500" w:line="3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9AA2A9"/>
                <w:sz w:val="20"/>
              </w:rPr>
              <w:t>照片</w:t>
            </w:r>
          </w:p>
        </w:tc>
      </w:tr>
    </w:tbl>
    <w:p w14:paraId="1AF21361">
      <w:pPr>
        <w:keepNext w:val="0"/>
        <w:spacing w:after="20" w:line="340" w:lineRule="exact"/>
      </w:pPr>
      <w:r>
        <w:rPr>
          <w:rFonts w:ascii="微软雅黑" w:hAnsi="微软雅黑" w:eastAsia="微软雅黑" w:cs="微软雅黑"/>
          <w:b w:val="0"/>
          <w:color w:val="666666"/>
          <w:sz w:val="19"/>
        </w:rPr>
        <w:t>每周到岗：</w:t>
      </w:r>
      <w:r>
        <w:rPr>
          <w:rFonts w:hint="eastAsia" w:cs="微软雅黑"/>
          <w:b w:val="0"/>
          <w:color w:val="666666"/>
          <w:sz w:val="19"/>
          <w:lang w:val="en-US" w:eastAsia="zh-CN"/>
        </w:rPr>
        <w:t>5</w:t>
      </w:r>
      <w:r>
        <w:rPr>
          <w:rFonts w:ascii="微软雅黑" w:hAnsi="微软雅黑" w:eastAsia="微软雅黑" w:cs="微软雅黑"/>
          <w:b w:val="0"/>
          <w:color w:val="666666"/>
          <w:sz w:val="19"/>
        </w:rPr>
        <w:t>天  |  可实习：</w:t>
      </w:r>
      <w:r>
        <w:rPr>
          <w:rFonts w:hint="eastAsia" w:cs="微软雅黑"/>
          <w:b w:val="0"/>
          <w:color w:val="666666"/>
          <w:sz w:val="19"/>
          <w:lang w:val="en-US" w:eastAsia="zh-CN"/>
        </w:rPr>
        <w:t>6</w:t>
      </w:r>
      <w:r>
        <w:rPr>
          <w:rFonts w:ascii="微软雅黑" w:hAnsi="微软雅黑" w:eastAsia="微软雅黑" w:cs="微软雅黑"/>
          <w:b w:val="0"/>
          <w:color w:val="666666"/>
          <w:sz w:val="19"/>
        </w:rPr>
        <w:t xml:space="preserve">个月  |  </w:t>
      </w:r>
    </w:p>
    <w:p w14:paraId="0C4C38FB">
      <w:pPr>
        <w:pStyle w:val="3"/>
        <w:pBdr>
          <w:bottom w:val="single" w:color="617579" w:sz="6" w:space="4"/>
        </w:pBdr>
        <w:spacing w:before="200" w:after="140" w:line="400" w:lineRule="exact"/>
      </w:pPr>
      <w:r>
        <w:rPr>
          <w:rFonts w:ascii="微软雅黑" w:hAnsi="微软雅黑" w:eastAsia="微软雅黑" w:cs="微软雅黑"/>
          <w:b/>
          <w:color w:val="314B5F"/>
          <w:sz w:val="26"/>
        </w:rPr>
        <w:t>个人优势</w:t>
      </w:r>
    </w:p>
    <w:p w14:paraId="1C47A799">
      <w:pPr>
        <w:keepLines/>
        <w:numPr>
          <w:ilvl w:val="0"/>
          <w:numId w:val="7"/>
        </w:numPr>
        <w:spacing w:after="100" w:line="360" w:lineRule="exact"/>
      </w:pPr>
      <w:r>
        <w:rPr>
          <w:rFonts w:ascii="微软雅黑" w:hAnsi="微软雅黑" w:eastAsia="微软雅黑" w:cs="微软雅黑"/>
          <w:b/>
          <w:color w:val="222222"/>
          <w:sz w:val="22"/>
        </w:rPr>
        <w:t>Java 工程实践：</w:t>
      </w:r>
      <w:r>
        <w:rPr>
          <w:rFonts w:ascii="微软雅黑" w:hAnsi="微软雅黑" w:eastAsia="微软雅黑" w:cs="微软雅黑"/>
          <w:b w:val="0"/>
          <w:color w:val="222222"/>
          <w:sz w:val="22"/>
        </w:rPr>
        <w:t>围绕 Spring Boot 打通文档上传、Kafka 异步解析、MinIO 存储、MySQL 任务状态与 SSE 流式问答，能梳理从请求到索引、回答的完整数据流。</w:t>
      </w:r>
    </w:p>
    <w:p w14:paraId="5BDB70AD">
      <w:pPr>
        <w:keepLines/>
        <w:numPr>
          <w:ilvl w:val="0"/>
          <w:numId w:val="7"/>
        </w:numPr>
        <w:spacing w:after="100" w:line="360" w:lineRule="exact"/>
      </w:pPr>
      <w:r>
        <w:rPr>
          <w:rFonts w:ascii="微软雅黑" w:hAnsi="微软雅黑" w:eastAsia="微软雅黑" w:cs="微软雅黑"/>
          <w:b/>
          <w:color w:val="222222"/>
          <w:sz w:val="22"/>
        </w:rPr>
        <w:t>RAG 方案理解：</w:t>
      </w:r>
      <w:r>
        <w:rPr>
          <w:rFonts w:ascii="微软雅黑" w:hAnsi="微软雅黑" w:eastAsia="微软雅黑" w:cs="微软雅黑"/>
          <w:b w:val="0"/>
          <w:color w:val="222222"/>
          <w:sz w:val="22"/>
        </w:rPr>
        <w:t>理解 Parent/Child 分块、PGVector 与 Elasticsearch 双路召回、RRF 融合和 Parent 回升的取舍；能说明证据预算与 Neo4j 章节导航分别解决的问题。</w:t>
      </w:r>
    </w:p>
    <w:p w14:paraId="79C6DDAC">
      <w:pPr>
        <w:keepLines/>
        <w:numPr>
          <w:ilvl w:val="0"/>
          <w:numId w:val="7"/>
        </w:numPr>
        <w:spacing w:after="100" w:line="360" w:lineRule="exact"/>
      </w:pPr>
      <w:r>
        <w:rPr>
          <w:rFonts w:ascii="微软雅黑" w:hAnsi="微软雅黑" w:eastAsia="微软雅黑" w:cs="微软雅黑"/>
          <w:b/>
          <w:color w:val="222222"/>
          <w:sz w:val="22"/>
        </w:rPr>
        <w:t>稳定性与排障：</w:t>
      </w:r>
      <w:r>
        <w:rPr>
          <w:rFonts w:ascii="微软雅黑" w:hAnsi="微软雅黑" w:eastAsia="微软雅黑" w:cs="微软雅黑"/>
          <w:b w:val="0"/>
          <w:color w:val="222222"/>
          <w:sz w:val="22"/>
        </w:rPr>
        <w:t>实践 Redis Lua 会话租约、Agent 调用上限与重试、Checkpoint 和对话观测；联调本地 SearXNG JSON 搜索，验证结果映射、异常提示和网页引用链路。</w:t>
      </w:r>
    </w:p>
    <w:p w14:paraId="52706D60">
      <w:pPr>
        <w:pStyle w:val="3"/>
        <w:pBdr>
          <w:bottom w:val="single" w:color="617579" w:sz="6" w:space="4"/>
        </w:pBdr>
        <w:spacing w:before="200" w:after="140" w:line="400" w:lineRule="exact"/>
      </w:pPr>
      <w:r>
        <w:rPr>
          <w:rFonts w:ascii="微软雅黑" w:hAnsi="微软雅黑" w:eastAsia="微软雅黑" w:cs="微软雅黑"/>
          <w:b/>
          <w:color w:val="314B5F"/>
          <w:sz w:val="26"/>
        </w:rPr>
        <w:t>教育背景</w:t>
      </w:r>
    </w:p>
    <w:p w14:paraId="5E346EE6">
      <w:pPr>
        <w:keepNext w:val="0"/>
        <w:spacing w:after="80"/>
      </w:pPr>
      <w:r>
        <w:rPr>
          <w:rFonts w:hint="eastAsia" w:cs="微软雅黑"/>
          <w:b/>
          <w:color w:val="6B7280"/>
          <w:sz w:val="22"/>
          <w:lang w:val="en-US" w:eastAsia="zh-CN"/>
        </w:rPr>
        <w:t>郑州大学</w:t>
      </w:r>
      <w:r>
        <w:rPr>
          <w:rFonts w:ascii="微软雅黑" w:hAnsi="微软雅黑" w:eastAsia="微软雅黑" w:cs="微软雅黑"/>
          <w:b/>
          <w:color w:val="222222"/>
          <w:sz w:val="22"/>
        </w:rPr>
        <w:t xml:space="preserve">     </w:t>
      </w:r>
      <w:r>
        <w:rPr>
          <w:rFonts w:hint="eastAsia" w:cs="微软雅黑"/>
          <w:b/>
          <w:color w:val="6B7280"/>
          <w:sz w:val="22"/>
          <w:lang w:val="en-US" w:eastAsia="zh-CN"/>
        </w:rPr>
        <w:t>网络空间安全</w:t>
      </w:r>
      <w:r>
        <w:rPr>
          <w:rFonts w:ascii="微软雅黑" w:hAnsi="微软雅黑" w:eastAsia="微软雅黑" w:cs="微软雅黑"/>
          <w:b/>
          <w:color w:val="222222"/>
          <w:sz w:val="22"/>
        </w:rPr>
        <w:t>（</w:t>
      </w:r>
      <w:r>
        <w:rPr>
          <w:rFonts w:ascii="微软雅黑" w:hAnsi="微软雅黑" w:eastAsia="微软雅黑" w:cs="微软雅黑"/>
          <w:b/>
          <w:color w:val="6B7280"/>
          <w:sz w:val="22"/>
        </w:rPr>
        <w:t>[</w:t>
      </w:r>
      <w:r>
        <w:rPr>
          <w:rFonts w:hint="eastAsia" w:cs="微软雅黑"/>
          <w:b/>
          <w:color w:val="6B7280"/>
          <w:sz w:val="22"/>
          <w:lang w:val="en-US" w:eastAsia="zh-CN"/>
        </w:rPr>
        <w:t>硕士在读</w:t>
      </w:r>
      <w:r>
        <w:rPr>
          <w:rFonts w:ascii="微软雅黑" w:hAnsi="微软雅黑" w:eastAsia="微软雅黑" w:cs="微软雅黑"/>
          <w:b/>
          <w:color w:val="6B7280"/>
          <w:sz w:val="22"/>
        </w:rPr>
        <w:t>]</w:t>
      </w:r>
      <w:r>
        <w:rPr>
          <w:rFonts w:ascii="微软雅黑" w:hAnsi="微软雅黑" w:eastAsia="微软雅黑" w:cs="微软雅黑"/>
          <w:b/>
          <w:color w:val="222222"/>
          <w:sz w:val="22"/>
        </w:rPr>
        <w:t>，</w:t>
      </w:r>
      <w:r>
        <w:rPr>
          <w:rFonts w:ascii="微软雅黑" w:hAnsi="微软雅黑" w:eastAsia="微软雅黑" w:cs="微软雅黑"/>
          <w:b/>
          <w:color w:val="6B7280"/>
          <w:sz w:val="22"/>
        </w:rPr>
        <w:t>[</w:t>
      </w:r>
      <w:r>
        <w:rPr>
          <w:rFonts w:hint="eastAsia" w:cs="微软雅黑"/>
          <w:b/>
          <w:color w:val="6B7280"/>
          <w:sz w:val="22"/>
          <w:lang w:val="en-US" w:eastAsia="zh-CN"/>
        </w:rPr>
        <w:t>2028.6</w:t>
      </w:r>
      <w:r>
        <w:rPr>
          <w:rFonts w:ascii="微软雅黑" w:hAnsi="微软雅黑" w:eastAsia="微软雅黑" w:cs="微软雅黑"/>
          <w:b/>
          <w:color w:val="6B7280"/>
          <w:sz w:val="22"/>
        </w:rPr>
        <w:t>]</w:t>
      </w:r>
      <w:r>
        <w:rPr>
          <w:rFonts w:ascii="微软雅黑" w:hAnsi="微软雅黑" w:eastAsia="微软雅黑" w:cs="微软雅黑"/>
          <w:b/>
          <w:color w:val="222222"/>
          <w:sz w:val="22"/>
        </w:rPr>
        <w:t>）</w:t>
      </w:r>
    </w:p>
    <w:p w14:paraId="614B519D">
      <w:pPr>
        <w:keepNext w:val="0"/>
        <w:spacing w:after="4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 w:val="0"/>
          <w:color w:val="666666"/>
          <w:sz w:val="21"/>
        </w:rPr>
        <w:t>证书 / 荣誉：</w:t>
      </w:r>
      <w:r>
        <w:rPr>
          <w:rFonts w:hint="eastAsia" w:cs="微软雅黑"/>
          <w:b w:val="0"/>
          <w:color w:val="6B7280"/>
          <w:sz w:val="21"/>
          <w:lang w:val="en-US" w:eastAsia="zh-CN"/>
        </w:rPr>
        <w:t>CET-6</w:t>
      </w:r>
      <w:r>
        <w:rPr>
          <w:rFonts w:ascii="微软雅黑" w:hAnsi="微软雅黑" w:eastAsia="微软雅黑" w:cs="微软雅黑"/>
          <w:b w:val="0"/>
          <w:color w:val="666666"/>
          <w:sz w:val="21"/>
        </w:rPr>
        <w:t>、</w:t>
      </w:r>
      <w:r>
        <w:rPr>
          <w:rFonts w:hint="eastAsia" w:cs="微软雅黑"/>
          <w:b w:val="0"/>
          <w:color w:val="6B7280"/>
          <w:sz w:val="21"/>
          <w:lang w:val="en-US" w:eastAsia="zh-CN"/>
        </w:rPr>
        <w:t>研究生一等奖学金</w:t>
      </w:r>
      <w:r>
        <w:rPr>
          <w:rFonts w:ascii="微软雅黑" w:hAnsi="微软雅黑" w:eastAsia="微软雅黑" w:cs="微软雅黑"/>
          <w:b w:val="0"/>
          <w:color w:val="6B7280"/>
          <w:sz w:val="21"/>
        </w:rPr>
        <w:t xml:space="preserve"> </w:t>
      </w:r>
      <w:r>
        <w:rPr>
          <w:rFonts w:hint="eastAsia" w:cs="微软雅黑"/>
          <w:b w:val="0"/>
          <w:color w:val="6B7280"/>
          <w:sz w:val="21"/>
          <w:lang w:eastAsia="zh-CN"/>
        </w:rPr>
        <w:t>、</w:t>
      </w:r>
    </w:p>
    <w:p w14:paraId="08CDF971">
      <w:pPr>
        <w:pStyle w:val="3"/>
        <w:pBdr>
          <w:bottom w:val="single" w:color="617579" w:sz="6" w:space="4"/>
        </w:pBdr>
        <w:spacing w:before="200" w:after="140" w:line="400" w:lineRule="exact"/>
      </w:pPr>
      <w:r>
        <w:rPr>
          <w:rFonts w:ascii="微软雅黑" w:hAnsi="微软雅黑" w:eastAsia="微软雅黑" w:cs="微软雅黑"/>
          <w:b/>
          <w:color w:val="314B5F"/>
          <w:sz w:val="26"/>
        </w:rPr>
        <w:t>项目经历</w:t>
      </w:r>
    </w:p>
    <w:p w14:paraId="273AC4CA">
      <w:pPr>
        <w:pStyle w:val="4"/>
        <w:pageBreakBefore w:val="0"/>
        <w:spacing w:before="60" w:after="100" w:line="360" w:lineRule="exact"/>
      </w:pPr>
      <w:r>
        <w:rPr>
          <w:b/>
        </w:rPr>
        <w:t>Nexus Agent｜企业知识问答与智能体对话平台</w:t>
      </w:r>
    </w:p>
    <w:p w14:paraId="5DBBEDC2">
      <w:pPr>
        <w:keepNext w:val="0"/>
        <w:spacing w:after="100"/>
      </w:pPr>
      <w:r>
        <w:rPr>
          <w:b/>
        </w:rPr>
        <w:t>项目链接：</w:t>
      </w:r>
    </w:p>
    <w:p w14:paraId="074A7D20">
      <w:pPr>
        <w:keepNext w:val="0"/>
        <w:spacing w:after="100"/>
      </w:pPr>
      <w:r>
        <w:rPr>
          <w:b/>
        </w:rPr>
        <w:t>项目描述：</w:t>
      </w:r>
      <w:r>
        <w:t>面向企业多文档知识问答与开放式对话，解决知识范围难定位、单路检索易漏召、长文档回答缺少上下文和引用、多轮会话并发冲突等问题；通过前置编排、文档异步入库、混合检索、结构图导航和证据约束生成，提供可追溯、可中断的流式回答。</w:t>
      </w:r>
    </w:p>
    <w:p w14:paraId="32261CBC">
      <w:pPr>
        <w:keepNext w:val="0"/>
        <w:spacing w:after="100"/>
      </w:pPr>
      <w:r>
        <w:rPr>
          <w:b/>
        </w:rPr>
        <w:t>架构编排：</w:t>
      </w:r>
      <w:r>
        <w:t>设计会话前置编排链路，装载记忆、改写并拆分问题、执行 Scope→Topic→Document 知识路由、识别歧义并生成执行计划，分流到澄清、结构图问答、RAG 或 ReAct Agent。</w:t>
      </w:r>
    </w:p>
    <w:p w14:paraId="06829279">
      <w:pPr>
        <w:keepNext w:val="0"/>
        <w:spacing w:after="100"/>
      </w:pPr>
      <w:r>
        <w:rPr>
          <w:b/>
        </w:rPr>
        <w:t>文档入库：</w:t>
      </w:r>
      <w:r>
        <w:t>构建 MinIO 存储、Tika 解析、Kafka 异步任务与任务日志链路；按切块策略生成 Parent/Child 块，分别构建 PGVector 向量索引和 Elasticsearch 关键词索引。</w:t>
      </w:r>
    </w:p>
    <w:p w14:paraId="34CAA01F">
      <w:pPr>
        <w:keepNext w:val="0"/>
        <w:spacing w:after="100"/>
      </w:pPr>
      <w:r>
        <w:rPr>
          <w:b/>
        </w:rPr>
        <w:t>混合检索：</w:t>
      </w:r>
      <w:r>
        <w:t>实现子问题及向量/关键词通道并行召回、超时降级和 RRF 融合；命中 Child 后提升 Parent 上下文，可选外部 Rerank，并用证据预算与无证据短路约束回答。</w:t>
      </w:r>
    </w:p>
    <w:p w14:paraId="410E2A13">
      <w:pPr>
        <w:keepNext w:val="0"/>
        <w:spacing w:after="100"/>
      </w:pPr>
      <w:r>
        <w:rPr>
          <w:b/>
        </w:rPr>
        <w:t>结构图查询：</w:t>
      </w:r>
      <w:r>
        <w:t>将文档章节与条目投影为 Neo4j 的 Document/Section/Item 节点及父子、同级关系，支持章节定位、上下级和相邻章节查询。</w:t>
      </w:r>
    </w:p>
    <w:p w14:paraId="670B847E">
      <w:pPr>
        <w:keepNext w:val="0"/>
        <w:spacing w:after="100"/>
      </w:pPr>
      <w:r>
        <w:rPr>
          <w:b/>
        </w:rPr>
        <w:t>Agent 工具治理：</w:t>
      </w:r>
      <w:r>
        <w:t>将联网搜索由 Tavily 替换为本地 SearXNG，适配 JSON 查询、URL 去重及摘要与引用映射；保留 SSE 事件和工具追踪，并以调用限次、重试及 MySQL Checkpoint 约束 ReAct Agent 执行。</w:t>
      </w:r>
    </w:p>
    <w:p w14:paraId="22CD0988">
      <w:pPr>
        <w:keepNext w:val="0"/>
        <w:spacing w:after="100"/>
      </w:pPr>
      <w:r>
        <w:rPr>
          <w:b/>
        </w:rPr>
        <w:t>流式与并发：</w:t>
      </w:r>
      <w:r>
        <w:t>基于 SSE 推送正文、状态和引用事件，支持客户端取消和主动停止；使用 Redis Lua 实现会话独占租约、持有者校验续期与释放，租约失效时停止生成。</w:t>
      </w:r>
    </w:p>
    <w:p w14:paraId="7E29154F">
      <w:pPr>
        <w:pStyle w:val="3"/>
        <w:pBdr>
          <w:bottom w:val="single" w:color="617579" w:sz="6" w:space="4"/>
        </w:pBdr>
        <w:spacing w:before="200" w:after="140" w:line="400" w:lineRule="exact"/>
      </w:pPr>
      <w:r>
        <w:rPr>
          <w:rFonts w:ascii="微软雅黑" w:hAnsi="微软雅黑" w:eastAsia="微软雅黑" w:cs="微软雅黑"/>
          <w:b/>
          <w:color w:val="314B5F"/>
          <w:sz w:val="26"/>
        </w:rPr>
        <w:t>专业技能</w:t>
      </w:r>
    </w:p>
    <w:p w14:paraId="652C78FD">
      <w:pPr>
        <w:keepLines/>
        <w:numPr>
          <w:ilvl w:val="0"/>
          <w:numId w:val="7"/>
        </w:numPr>
        <w:spacing w:after="100" w:line="360" w:lineRule="exact"/>
      </w:pPr>
      <w:r>
        <w:rPr>
          <w:rFonts w:ascii="微软雅黑" w:hAnsi="微软雅黑" w:eastAsia="微软雅黑" w:cs="微软雅黑"/>
          <w:b/>
          <w:color w:val="222222"/>
          <w:sz w:val="22"/>
        </w:rPr>
        <w:t>Java 后端：</w:t>
      </w:r>
      <w:r>
        <w:rPr>
          <w:rFonts w:ascii="微软雅黑" w:hAnsi="微软雅黑" w:eastAsia="微软雅黑" w:cs="微软雅黑"/>
          <w:b w:val="0"/>
          <w:color w:val="222222"/>
          <w:sz w:val="22"/>
        </w:rPr>
        <w:t>熟悉 Java 17、Spring Boot 3、MyBatis-Plus 与 MySQL；实践 Kafka 异步任务、Redis Lua 会话租约、JWT 鉴权和 SSE 流式接口。</w:t>
      </w:r>
    </w:p>
    <w:p w14:paraId="05798B5B">
      <w:pPr>
        <w:keepLines/>
        <w:numPr>
          <w:ilvl w:val="0"/>
          <w:numId w:val="7"/>
        </w:numPr>
        <w:spacing w:after="100" w:line="360" w:lineRule="exact"/>
      </w:pPr>
      <w:r>
        <w:rPr>
          <w:rFonts w:ascii="微软雅黑" w:hAnsi="微软雅黑" w:eastAsia="微软雅黑" w:cs="微软雅黑"/>
          <w:b/>
          <w:color w:val="222222"/>
          <w:sz w:val="22"/>
        </w:rPr>
        <w:t>RAG 检索：</w:t>
      </w:r>
      <w:r>
        <w:rPr>
          <w:rFonts w:ascii="微软雅黑" w:hAnsi="微软雅黑" w:eastAsia="微软雅黑" w:cs="微软雅黑"/>
          <w:b w:val="0"/>
          <w:color w:val="222222"/>
          <w:sz w:val="22"/>
        </w:rPr>
        <w:t>熟悉 MinIO/Tika 文档入库、Parent/Child 分块、PGVector 与 Elasticsearch 双路召</w:t>
      </w:r>
      <w:bookmarkStart w:id="0" w:name="_GoBack"/>
      <w:bookmarkEnd w:id="0"/>
      <w:r>
        <w:rPr>
          <w:rFonts w:ascii="微软雅黑" w:hAnsi="微软雅黑" w:eastAsia="微软雅黑" w:cs="微软雅黑"/>
          <w:b w:val="0"/>
          <w:color w:val="222222"/>
          <w:sz w:val="22"/>
        </w:rPr>
        <w:t>回、RRF 融合及外部重排；理解 Neo4j 结构导航与证据引用。</w:t>
      </w:r>
    </w:p>
    <w:p w14:paraId="4AD8004A">
      <w:pPr>
        <w:keepLines/>
        <w:numPr>
          <w:ilvl w:val="0"/>
          <w:numId w:val="7"/>
        </w:numPr>
        <w:spacing w:after="100" w:line="360" w:lineRule="exact"/>
      </w:pPr>
      <w:r>
        <w:rPr>
          <w:rFonts w:ascii="微软雅黑" w:hAnsi="微软雅黑" w:eastAsia="微软雅黑" w:cs="微软雅黑"/>
          <w:b/>
          <w:color w:val="222222"/>
          <w:sz w:val="22"/>
        </w:rPr>
        <w:t>Agent 工程：</w:t>
      </w:r>
      <w:r>
        <w:rPr>
          <w:rFonts w:ascii="微软雅黑" w:hAnsi="微软雅黑" w:eastAsia="微软雅黑" w:cs="微软雅黑"/>
          <w:b w:val="0"/>
          <w:color w:val="222222"/>
          <w:sz w:val="22"/>
        </w:rPr>
        <w:t>基于 Spring AI Alibaba ReAct Agent 实践工具调用、MySQL Checkpoint、调用次数 Hook 和重试；完成 Tavily 至 SearXNG 搜索适配，能结合工具轨迹定位故障。</w:t>
      </w:r>
    </w:p>
    <w:sectPr>
      <w:pgSz w:w="11906" w:h="16838"/>
      <w:pgMar w:top="935" w:right="964" w:bottom="935" w:left="964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170" w:hanging="170"/>
      </w:pPr>
      <w:rPr>
        <w:rFonts w:ascii="Arial" w:hAnsi="Aria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2A1F5E"/>
    <w:rsid w:val="13CB5FFB"/>
    <w:rsid w:val="2C993401"/>
    <w:rsid w:val="3BC768BF"/>
    <w:rsid w:val="5DB91740"/>
    <w:rsid w:val="6AB65693"/>
    <w:rsid w:val="77E8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80" w:line="360" w:lineRule="exact"/>
    </w:pPr>
    <w:rPr>
      <w:rFonts w:ascii="微软雅黑" w:hAnsi="微软雅黑" w:eastAsia="微软雅黑" w:cs="微软雅黑"/>
      <w:color w:val="222222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0" w:after="80" w:line="360" w:lineRule="exact"/>
      <w:outlineLvl w:val="0"/>
    </w:pPr>
    <w:rPr>
      <w:rFonts w:asciiTheme="majorHAnsi" w:hAnsiTheme="majorHAnsi" w:eastAsiaTheme="majorEastAsia" w:cstheme="majorBidi"/>
      <w:b/>
      <w:bCs/>
      <w:color w:val="314B5F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0" w:after="80" w:line="360" w:lineRule="exact"/>
      <w:outlineLvl w:val="1"/>
    </w:pPr>
    <w:rPr>
      <w:rFonts w:asciiTheme="majorHAnsi" w:hAnsiTheme="majorHAnsi" w:eastAsiaTheme="majorEastAsia" w:cstheme="majorBidi"/>
      <w:b/>
      <w:bCs/>
      <w:color w:val="222222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widowControl/>
      <w:spacing w:before="0" w:after="80" w:line="360" w:lineRule="exact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1269</Words>
  <Characters>1746</Characters>
  <Lines>0</Lines>
  <Paragraphs>0</Paragraphs>
  <TotalTime>119</TotalTime>
  <ScaleCrop>false</ScaleCrop>
  <LinksUpToDate>false</LinksUpToDate>
  <CharactersWithSpaces>1917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一個人的生活</dc:creator>
  <dc:description>generated by python-docx</dc:description>
  <cp:keywords>简历 模板</cp:keywords>
  <cp:lastModifiedBy>一個人的生活</cp:lastModifiedBy>
  <dcterms:modified xsi:type="dcterms:W3CDTF">2026-10-25T10:49:38Z</dcterms:modified>
  <dc:subject>参考两页简历版式的可编辑模板</dc:subject>
  <dc:title>简历模板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eyJoZGlkIjoiYmRjM2E0ZDQ5MGRkNTZjN2MzMjYxMzZkN2RmODcxM2YiLCJ1c2VySWQiOiI5MTQwODE3MzYifQ==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0963938FAE744DD1A3DD59185292769B_12</vt:lpwstr>
  </property>
</Properties>
</file>