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F4E79"/>
          <w:sz w:val="64"/>
        </w:rPr>
        <w:t>RAPPORT DE STAGE</w:t>
      </w:r>
    </w:p>
    <w:p>
      <w:pPr>
        <w:jc w:val="center"/>
      </w:pPr>
      <w:r>
        <w:rPr>
          <w:b/>
          <w:color w:val="2E74B5"/>
          <w:sz w:val="36"/>
        </w:rPr>
        <w:t>BTS SIO — Option SISR</w:t>
      </w:r>
    </w:p>
    <w:p>
      <w:pPr>
        <w:spacing w:before="360"/>
        <w:jc w:val="center"/>
      </w:pPr>
      <w:r>
        <w:rPr>
          <w:i/>
          <w:sz w:val="24"/>
        </w:rPr>
        <w:t>Une immersion professionnelle au cœur des systèmes, réseaux et du support informatique</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100" w:type="dxa"/>
              <w:start w:w="120" w:type="dxa"/>
              <w:bottom w:w="100" w:type="dxa"/>
              <w:end w:w="120" w:type="dxa"/>
            </w:tcMar>
            <w:vAlign w:val="center"/>
          </w:tcPr>
          <w:p>
            <w:pPr>
              <w:spacing w:after="40"/>
            </w:pPr>
            <w:r>
              <w:rPr>
                <w:b/>
                <w:color w:val="1F4E79"/>
              </w:rPr>
              <w:t>Entreprise</w:t>
            </w:r>
          </w:p>
        </w:tc>
        <w:tc>
          <w:tcPr>
            <w:tcW w:type="dxa" w:w="4968"/>
            <w:shd w:fill="F5F9FC"/>
            <w:tcMar>
              <w:top w:w="100" w:type="dxa"/>
              <w:start w:w="120" w:type="dxa"/>
              <w:bottom w:w="100" w:type="dxa"/>
              <w:end w:w="120" w:type="dxa"/>
            </w:tcMar>
            <w:vAlign w:val="center"/>
          </w:tcPr>
          <w:p>
            <w:pPr>
              <w:spacing w:after="40"/>
            </w:pPr>
            <w:r>
              <w:t>Nexus Coworking</w:t>
            </w:r>
          </w:p>
        </w:tc>
      </w:tr>
      <w:tr>
        <w:tc>
          <w:tcPr>
            <w:tcW w:type="dxa" w:w="4968"/>
            <w:shd w:fill="D9EAF7"/>
            <w:tcMar>
              <w:top w:w="100" w:type="dxa"/>
              <w:start w:w="120" w:type="dxa"/>
              <w:bottom w:w="100" w:type="dxa"/>
              <w:end w:w="120" w:type="dxa"/>
            </w:tcMar>
            <w:vAlign w:val="center"/>
          </w:tcPr>
          <w:p>
            <w:pPr>
              <w:spacing w:after="40"/>
            </w:pPr>
            <w:r>
              <w:rPr>
                <w:b/>
                <w:color w:val="1F4E79"/>
              </w:rPr>
              <w:t>Lieu</w:t>
            </w:r>
          </w:p>
        </w:tc>
        <w:tc>
          <w:tcPr>
            <w:tcW w:type="dxa" w:w="4968"/>
            <w:shd w:fill="F5F9FC"/>
            <w:tcMar>
              <w:top w:w="100" w:type="dxa"/>
              <w:start w:w="120" w:type="dxa"/>
              <w:bottom w:w="100" w:type="dxa"/>
              <w:end w:w="120" w:type="dxa"/>
            </w:tcMar>
            <w:vAlign w:val="center"/>
          </w:tcPr>
          <w:p>
            <w:pPr>
              <w:spacing w:after="40"/>
            </w:pPr>
            <w:r>
              <w:t>Barcelone, Espagne</w:t>
            </w:r>
          </w:p>
        </w:tc>
      </w:tr>
      <w:tr>
        <w:tc>
          <w:tcPr>
            <w:tcW w:type="dxa" w:w="4968"/>
            <w:shd w:fill="D9EAF7"/>
            <w:tcMar>
              <w:top w:w="100" w:type="dxa"/>
              <w:start w:w="120" w:type="dxa"/>
              <w:bottom w:w="100" w:type="dxa"/>
              <w:end w:w="120" w:type="dxa"/>
            </w:tcMar>
            <w:vAlign w:val="center"/>
          </w:tcPr>
          <w:p>
            <w:pPr>
              <w:spacing w:after="40"/>
            </w:pPr>
            <w:r>
              <w:rPr>
                <w:b/>
                <w:color w:val="1F4E79"/>
              </w:rPr>
              <w:t>Période</w:t>
            </w:r>
          </w:p>
        </w:tc>
        <w:tc>
          <w:tcPr>
            <w:tcW w:type="dxa" w:w="4968"/>
            <w:shd w:fill="F5F9FC"/>
            <w:tcMar>
              <w:top w:w="100" w:type="dxa"/>
              <w:start w:w="120" w:type="dxa"/>
              <w:bottom w:w="100" w:type="dxa"/>
              <w:end w:w="120" w:type="dxa"/>
            </w:tcMar>
            <w:vAlign w:val="center"/>
          </w:tcPr>
          <w:p>
            <w:pPr>
              <w:spacing w:after="40"/>
            </w:pPr>
            <w:r>
              <w:t>12 juin 2026 → 29 juin 2026</w:t>
            </w:r>
          </w:p>
        </w:tc>
      </w:tr>
      <w:tr>
        <w:tc>
          <w:tcPr>
            <w:tcW w:type="dxa" w:w="4968"/>
            <w:shd w:fill="D9EAF7"/>
            <w:tcMar>
              <w:top w:w="100" w:type="dxa"/>
              <w:start w:w="120" w:type="dxa"/>
              <w:bottom w:w="100" w:type="dxa"/>
              <w:end w:w="120" w:type="dxa"/>
            </w:tcMar>
            <w:vAlign w:val="center"/>
          </w:tcPr>
          <w:p>
            <w:pPr>
              <w:spacing w:after="40"/>
            </w:pPr>
            <w:r>
              <w:rPr>
                <w:b/>
                <w:color w:val="1F4E79"/>
              </w:rPr>
              <w:t>Cadre</w:t>
            </w:r>
          </w:p>
        </w:tc>
        <w:tc>
          <w:tcPr>
            <w:tcW w:type="dxa" w:w="4968"/>
            <w:shd w:fill="F5F9FC"/>
            <w:tcMar>
              <w:top w:w="100" w:type="dxa"/>
              <w:start w:w="120" w:type="dxa"/>
              <w:bottom w:w="100" w:type="dxa"/>
              <w:end w:w="120" w:type="dxa"/>
            </w:tcMar>
            <w:vAlign w:val="center"/>
          </w:tcPr>
          <w:p>
            <w:pPr>
              <w:spacing w:after="40"/>
            </w:pPr>
            <w:r>
              <w:t>Mobilité Erasmus+</w:t>
            </w:r>
          </w:p>
        </w:tc>
      </w:tr>
      <w:tr>
        <w:tc>
          <w:tcPr>
            <w:tcW w:type="dxa" w:w="4968"/>
            <w:shd w:fill="D9EAF7"/>
            <w:tcMar>
              <w:top w:w="100" w:type="dxa"/>
              <w:start w:w="120" w:type="dxa"/>
              <w:bottom w:w="100" w:type="dxa"/>
              <w:end w:w="120" w:type="dxa"/>
            </w:tcMar>
            <w:vAlign w:val="center"/>
          </w:tcPr>
          <w:p>
            <w:pPr>
              <w:spacing w:after="40"/>
            </w:pPr>
            <w:r>
              <w:rPr>
                <w:b/>
                <w:color w:val="1F4E79"/>
              </w:rPr>
              <w:t>Formation</w:t>
            </w:r>
          </w:p>
        </w:tc>
        <w:tc>
          <w:tcPr>
            <w:tcW w:type="dxa" w:w="4968"/>
            <w:shd w:fill="F5F9FC"/>
            <w:tcMar>
              <w:top w:w="100" w:type="dxa"/>
              <w:start w:w="120" w:type="dxa"/>
              <w:bottom w:w="100" w:type="dxa"/>
              <w:end w:w="120" w:type="dxa"/>
            </w:tcMar>
            <w:vAlign w:val="center"/>
          </w:tcPr>
          <w:p>
            <w:pPr>
              <w:spacing w:after="40"/>
            </w:pPr>
            <w:r>
              <w:t>BTS SIO — Solutions d’Infrastructure, Systèmes et Réseaux</w:t>
            </w:r>
          </w:p>
        </w:tc>
      </w:tr>
    </w:tbl>
    <w:p/>
    <w:tbl>
      <w:tblPr>
        <w:tblStyle w:val="TableGrid"/>
        <w:tblW w:type="auto" w:w="0"/>
        <w:jc w:val="center"/>
        <w:tblLayout w:type="autofit"/>
        <w:tblLook w:firstColumn="1" w:firstRow="1" w:lastColumn="0" w:lastRow="0" w:noHBand="0" w:noVBand="1" w:val="04A0"/>
      </w:tblPr>
      <w:tblGrid>
        <w:gridCol w:w="9936"/>
      </w:tblGrid>
      <w:tr>
        <w:tc>
          <w:tcPr>
            <w:tcW w:type="dxa" w:w="9936"/>
            <w:shd w:fill="EEF5FB"/>
            <w:tcMar>
              <w:top w:w="150" w:type="dxa"/>
              <w:start w:w="180" w:type="dxa"/>
              <w:bottom w:w="150" w:type="dxa"/>
              <w:end w:w="180" w:type="dxa"/>
            </w:tcMar>
          </w:tcPr>
          <w:p>
            <w:pPr>
              <w:spacing w:after="40"/>
            </w:pPr>
            <w:r>
              <w:rPr>
                <w:b/>
                <w:color w:val="1F4E79"/>
                <w:sz w:val="22"/>
              </w:rPr>
              <w:t>🎯 Objectif du rapport</w:t>
            </w:r>
          </w:p>
          <w:p>
            <w:pPr>
              <w:spacing w:after="40"/>
            </w:pPr>
            <w:r>
              <w:rPr>
                <w:sz w:val="21"/>
              </w:rPr>
              <w:t>Présenter l’entreprise et son environnement informatique, détailler les réalisations effectuées, expliquer la démarche professionnelle adoptée et mettre en évidence les compétences mobilisées en BTS SIO SISR.</w:t>
            </w:r>
          </w:p>
        </w:tc>
      </w:tr>
    </w:tbl>
    <w:p>
      <w:pPr>
        <w:spacing w:after="20"/>
      </w:pPr>
    </w:p>
    <w:p>
      <w:pPr>
        <w:spacing w:before="400"/>
        <w:jc w:val="center"/>
      </w:pPr>
      <w:r>
        <w:rPr>
          <w:color w:val="7F7F7F"/>
          <w:sz w:val="18"/>
        </w:rPr>
        <w:t>Document professionnel — version structurée et illustrable</w:t>
      </w:r>
    </w:p>
    <w:p>
      <w:r>
        <w:br w:type="page"/>
      </w:r>
    </w:p>
    <w:p>
      <w:pPr>
        <w:pStyle w:val="Heading1"/>
        <w:spacing w:before="240" w:after="160"/>
      </w:pPr>
      <w:r>
        <w:rPr>
          <w:color w:val="1F4E79"/>
        </w:rPr>
        <w:t>. Sommaire</w:t>
      </w:r>
    </w:p>
    <w:p>
      <w:pPr>
        <w:spacing w:after="80"/>
        <w:ind w:left="288"/>
      </w:pPr>
      <w:r>
        <w:rPr>
          <w:color w:val="373737"/>
          <w:sz w:val="22"/>
        </w:rPr>
        <w:t>1.  Introduction</w:t>
      </w:r>
    </w:p>
    <w:p>
      <w:pPr>
        <w:spacing w:after="80"/>
        <w:ind w:left="288"/>
      </w:pPr>
      <w:r>
        <w:rPr>
          <w:color w:val="373737"/>
          <w:sz w:val="22"/>
        </w:rPr>
        <w:t>2.  Présentation de l’entreprise</w:t>
      </w:r>
    </w:p>
    <w:p>
      <w:pPr>
        <w:spacing w:after="80"/>
        <w:ind w:left="288"/>
      </w:pPr>
      <w:r>
        <w:rPr>
          <w:color w:val="373737"/>
          <w:sz w:val="22"/>
        </w:rPr>
        <w:t>3.  Présentation du service informatique</w:t>
      </w:r>
    </w:p>
    <w:p>
      <w:pPr>
        <w:spacing w:after="80"/>
        <w:ind w:left="288"/>
      </w:pPr>
      <w:r>
        <w:rPr>
          <w:color w:val="373737"/>
          <w:sz w:val="22"/>
        </w:rPr>
        <w:t>4.  Environnement technologique et architecture</w:t>
      </w:r>
    </w:p>
    <w:p>
      <w:pPr>
        <w:spacing w:after="80"/>
        <w:ind w:left="288"/>
      </w:pPr>
      <w:r>
        <w:rPr>
          <w:color w:val="373737"/>
          <w:sz w:val="22"/>
        </w:rPr>
        <w:t>5.  Réalisations professionnelles effectuées</w:t>
      </w:r>
    </w:p>
    <w:p>
      <w:pPr>
        <w:spacing w:after="80"/>
        <w:ind w:left="288"/>
      </w:pPr>
      <w:r>
        <w:rPr>
          <w:color w:val="373737"/>
          <w:sz w:val="22"/>
        </w:rPr>
        <w:t>6.  Rapport hebdomadaire</w:t>
      </w:r>
    </w:p>
    <w:p>
      <w:pPr>
        <w:spacing w:after="80"/>
        <w:ind w:left="288"/>
      </w:pPr>
      <w:r>
        <w:rPr>
          <w:color w:val="373737"/>
          <w:sz w:val="22"/>
        </w:rPr>
        <w:t>7.  Compétences mobilisées — BTS SIO SISR</w:t>
      </w:r>
    </w:p>
    <w:p>
      <w:pPr>
        <w:spacing w:after="80"/>
        <w:ind w:left="288"/>
      </w:pPr>
      <w:r>
        <w:rPr>
          <w:color w:val="373737"/>
          <w:sz w:val="22"/>
        </w:rPr>
        <w:t>8.  Bilan personnel et professionnel</w:t>
      </w:r>
    </w:p>
    <w:p>
      <w:pPr>
        <w:spacing w:after="80"/>
        <w:ind w:left="288"/>
      </w:pPr>
      <w:r>
        <w:rPr>
          <w:color w:val="373737"/>
          <w:sz w:val="22"/>
        </w:rPr>
        <w:t>9.  Conclusion</w:t>
      </w:r>
    </w:p>
    <w:p>
      <w:pPr>
        <w:spacing w:after="80"/>
        <w:ind w:left="288"/>
      </w:pPr>
      <w:r>
        <w:rPr>
          <w:color w:val="373737"/>
          <w:sz w:val="22"/>
        </w:rPr>
        <w:t>10.  Annexes</w:t>
      </w:r>
    </w:p>
    <w:p>
      <w:pPr>
        <w:spacing w:after="20"/>
      </w:pPr>
    </w:p>
    <w:p>
      <w:r>
        <w:br w:type="page"/>
      </w:r>
    </w:p>
    <w:p>
      <w:pPr>
        <w:pStyle w:val="Heading1"/>
        <w:spacing w:before="240" w:after="160"/>
      </w:pPr>
      <w:r>
        <w:rPr>
          <w:color w:val="1F4E79"/>
        </w:rPr>
        <w:t>1. Introduction</w:t>
      </w:r>
    </w:p>
    <w:p>
      <w:r>
        <w:t>Dans le cadre de ma première année de BTS Services Informatiques aux Organisations (SIO), option Solutions d’Infrastructure, Systèmes et Réseaux (SISR), j’ai effectué un stage professionnel au sein de Nexus Coworking, à Barcelone, en Espagne, du 12 juin 2026 au 29 juin 2026. Cette expérience s’est déroulée dans le cadre d’une mobilité Erasmus+.</w:t>
      </w:r>
    </w:p>
    <w:p>
      <w:r>
        <w:t>L’objectif principal de ce stage était de découvrir le fonctionnement d’un environnement informatique professionnel et de mettre en pratique les connaissances acquises en formation. Les missions confiées m’ont permis d’aborder l’administration des systèmes, la gestion des utilisateurs, le réseau, la maintenance du parc informatique, l’inventaire du matériel, la documentation technique et la continuité de service.</w:t>
      </w:r>
    </w:p>
    <w:tbl>
      <w:tblPr>
        <w:tblStyle w:val="TableGrid"/>
        <w:tblW w:type="auto" w:w="0"/>
        <w:jc w:val="center"/>
        <w:tblLayout w:type="autofit"/>
        <w:tblLook w:firstColumn="1" w:firstRow="1" w:lastColumn="0" w:lastRow="0" w:noHBand="0" w:noVBand="1" w:val="04A0"/>
      </w:tblPr>
      <w:tblGrid>
        <w:gridCol w:w="9936"/>
      </w:tblGrid>
      <w:tr>
        <w:tc>
          <w:tcPr>
            <w:tcW w:type="dxa" w:w="9936"/>
            <w:shd w:fill="EAF4EA"/>
            <w:tcMar>
              <w:top w:w="150" w:type="dxa"/>
              <w:start w:w="180" w:type="dxa"/>
              <w:bottom w:w="150" w:type="dxa"/>
              <w:end w:w="180" w:type="dxa"/>
            </w:tcMar>
          </w:tcPr>
          <w:p>
            <w:pPr>
              <w:spacing w:after="40"/>
            </w:pPr>
            <w:r>
              <w:rPr>
                <w:b/>
                <w:color w:val="1F4E79"/>
                <w:sz w:val="22"/>
              </w:rPr>
              <w:t>🔎 Fil conducteur du stage</w:t>
            </w:r>
          </w:p>
          <w:p>
            <w:pPr>
              <w:spacing w:after="40"/>
            </w:pPr>
            <w:r>
              <w:rPr>
                <w:sz w:val="21"/>
              </w:rPr>
              <w:t>Préparer → déployer → vérifier → documenter. Cette logique a été appliquée autant aux postes informatiques qu’au matériel, aux comptes utilisateurs et aux solutions réseau.</w:t>
            </w:r>
          </w:p>
        </w:tc>
      </w:tr>
    </w:tbl>
    <w:p>
      <w:pPr>
        <w:spacing w:after="20"/>
      </w:pPr>
    </w:p>
    <w:p>
      <w:pPr>
        <w:pStyle w:val="Heading1"/>
        <w:spacing w:before="240" w:after="160"/>
      </w:pPr>
      <w:r>
        <w:rPr>
          <w:color w:val="1F4E79"/>
        </w:rPr>
        <w:t>2. Présentation de l’entreprise</w:t>
      </w:r>
    </w:p>
    <w:p>
      <w:r>
        <w:t>Nexus Coworking est l’entreprise dans laquelle j’ai réalisé mon stage à Barcelone. Il s’agit d’un environnement de coworking dans lequel l’informatique accompagne directement les utilisateurs et le fonctionnement des espaces de travail.</w:t>
      </w:r>
    </w:p>
    <w:p>
      <w:r>
        <w:t>L’environnement comprend notamment des postes informatiques, des salles de réunion, des téléviseurs, des équipements audiovisuels, des stations d’accueil et une infrastructure réseau. La disponibilité de ces équipements est donc importante pour assurer une utilisation fluide des espaces.</w:t>
      </w:r>
    </w:p>
    <w:p>
      <w:pPr>
        <w:spacing w:after="20"/>
      </w:pPr>
    </w:p>
    <w:p>
      <w:pPr>
        <w:pStyle w:val="Heading1"/>
        <w:spacing w:before="240" w:after="160"/>
      </w:pPr>
      <w:r>
        <w:rPr>
          <w:color w:val="1F4E79"/>
        </w:rPr>
        <w:t>3. Présentation du service informatique</w:t>
      </w:r>
    </w:p>
    <w:p>
      <w:r>
        <w:t>Pendant le stage, les activités informatiques étaient principalement orientées vers la préparation, le déploiement, la maintenance et l’administration du parc informatique. Les interventions concernaient à la fois les systèmes, les réseaux, les équipements des salles et les utilisateurs.</w:t>
      </w:r>
    </w:p>
    <w:p>
      <w:pPr>
        <w:pStyle w:val="ListBullet"/>
        <w:spacing w:after="60"/>
      </w:pPr>
      <w:r>
        <w:t>Préparer et remettre en service des ordinateurs.</w:t>
      </w:r>
    </w:p>
    <w:p>
      <w:pPr>
        <w:pStyle w:val="ListBullet"/>
        <w:spacing w:after="60"/>
      </w:pPr>
      <w:r>
        <w:t>Installer les pilotes et les mises à jour nécessaires.</w:t>
      </w:r>
    </w:p>
    <w:p>
      <w:pPr>
        <w:pStyle w:val="ListBullet"/>
        <w:spacing w:after="60"/>
      </w:pPr>
      <w:r>
        <w:t>Administrer les utilisateurs et les appareils avec JumpCloud.</w:t>
      </w:r>
    </w:p>
    <w:p>
      <w:pPr>
        <w:pStyle w:val="ListBullet"/>
        <w:spacing w:after="60"/>
      </w:pPr>
      <w:r>
        <w:t>Déployer et identifier les postes des salles de réunion.</w:t>
      </w:r>
    </w:p>
    <w:p>
      <w:pPr>
        <w:pStyle w:val="ListBullet"/>
        <w:spacing w:after="60"/>
      </w:pPr>
      <w:r>
        <w:t>Tester, dépanner et inventorier les équipements.</w:t>
      </w:r>
    </w:p>
    <w:p>
      <w:pPr>
        <w:pStyle w:val="ListBullet"/>
        <w:spacing w:after="60"/>
      </w:pPr>
      <w:r>
        <w:t>Documenter les connexions et les équipements dans Nexus CRM.</w:t>
      </w:r>
    </w:p>
    <w:p>
      <w:pPr>
        <w:pStyle w:val="ListBullet"/>
        <w:spacing w:after="60"/>
      </w:pPr>
      <w:r>
        <w:t>Participer aux recherches liées à la continuité d’accès Internet.</w:t>
      </w:r>
    </w:p>
    <w:tbl>
      <w:tblPr>
        <w:tblStyle w:val="TableGrid"/>
        <w:tblW w:type="auto" w:w="0"/>
        <w:jc w:val="center"/>
        <w:tblLayout w:type="autofit"/>
        <w:tblLook w:firstColumn="1" w:firstRow="1" w:lastColumn="0" w:lastRow="0" w:noHBand="0" w:noVBand="1" w:val="04A0"/>
      </w:tblPr>
      <w:tblGrid>
        <w:gridCol w:w="9936"/>
      </w:tblGrid>
      <w:tr>
        <w:tc>
          <w:tcPr>
            <w:tcW w:type="dxa" w:w="9936"/>
            <w:shd w:fill="EEF5FB"/>
            <w:tcMar>
              <w:top w:w="150" w:type="dxa"/>
              <w:start w:w="180" w:type="dxa"/>
              <w:bottom w:w="150" w:type="dxa"/>
              <w:end w:w="180" w:type="dxa"/>
            </w:tcMar>
          </w:tcPr>
          <w:p>
            <w:pPr>
              <w:spacing w:after="40"/>
            </w:pPr>
            <w:r>
              <w:rPr>
                <w:b/>
                <w:color w:val="1F4E79"/>
                <w:sz w:val="22"/>
              </w:rPr>
              <w:t>🛠️ Une organisation orientée service</w:t>
            </w:r>
          </w:p>
          <w:p>
            <w:pPr>
              <w:spacing w:after="40"/>
            </w:pPr>
            <w:r>
              <w:rPr>
                <w:sz w:val="21"/>
              </w:rPr>
              <w:t>Les interventions avaient un objectif concret : rendre les équipements disponibles, fiables et identifiables pour les utilisateurs du coworking.</w:t>
            </w:r>
          </w:p>
        </w:tc>
      </w:tr>
    </w:tbl>
    <w:p>
      <w:pPr>
        <w:spacing w:after="20"/>
      </w:pPr>
    </w:p>
    <w:p>
      <w:pPr>
        <w:pStyle w:val="Heading1"/>
        <w:spacing w:before="240" w:after="160"/>
      </w:pPr>
      <w:r>
        <w:rPr>
          <w:color w:val="1F4E79"/>
        </w:rPr>
        <w:t>4. Environnement technologique et architecture</w:t>
      </w:r>
    </w:p>
    <w:p>
      <w:r>
        <w:t>L’environnement technologique rencontré pendant le stage était composé de postes Windows, d’outils d’administration centralisée, d’équipements réseau et de périphériques audiovisuels.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9"/>
            <w:tcMar>
              <w:top w:w="100" w:type="dxa"/>
              <w:start w:w="120" w:type="dxa"/>
              <w:bottom w:w="100" w:type="dxa"/>
              <w:end w:w="120" w:type="dxa"/>
            </w:tcMar>
          </w:tcPr>
          <w:p>
            <w:pPr>
              <w:spacing w:after="40"/>
            </w:pPr>
            <w:r>
              <w:rPr>
                <w:b/>
                <w:color w:val="FFFFFF"/>
              </w:rPr>
              <w:t>Domaine</w:t>
            </w:r>
          </w:p>
        </w:tc>
        <w:tc>
          <w:tcPr>
            <w:tcW w:type="dxa" w:w="3312"/>
            <w:shd w:fill="1F4E79"/>
            <w:tcMar>
              <w:top w:w="100" w:type="dxa"/>
              <w:start w:w="120" w:type="dxa"/>
              <w:bottom w:w="100" w:type="dxa"/>
              <w:end w:w="120" w:type="dxa"/>
            </w:tcMar>
          </w:tcPr>
          <w:p>
            <w:pPr>
              <w:spacing w:after="40"/>
            </w:pPr>
            <w:r>
              <w:rPr>
                <w:b/>
                <w:color w:val="FFFFFF"/>
              </w:rPr>
              <w:t>Technologies / équipements</w:t>
            </w:r>
          </w:p>
        </w:tc>
        <w:tc>
          <w:tcPr>
            <w:tcW w:type="dxa" w:w="3312"/>
            <w:shd w:fill="1F4E79"/>
            <w:tcMar>
              <w:top w:w="100" w:type="dxa"/>
              <w:start w:w="120" w:type="dxa"/>
              <w:bottom w:w="100" w:type="dxa"/>
              <w:end w:w="120" w:type="dxa"/>
            </w:tcMar>
          </w:tcPr>
          <w:p>
            <w:pPr>
              <w:spacing w:after="40"/>
            </w:pPr>
            <w:r>
              <w:rPr>
                <w:b/>
                <w:color w:val="FFFFFF"/>
              </w:rPr>
              <w:t>Utilisation pendant le stage</w:t>
            </w:r>
          </w:p>
        </w:tc>
      </w:tr>
      <w:tr>
        <w:tc>
          <w:tcPr>
            <w:tcW w:type="dxa" w:w="3312"/>
            <w:shd w:fill="F7FAFD"/>
            <w:tcMar>
              <w:top w:w="100" w:type="dxa"/>
              <w:start w:w="120" w:type="dxa"/>
              <w:bottom w:w="100" w:type="dxa"/>
              <w:end w:w="120" w:type="dxa"/>
            </w:tcMar>
          </w:tcPr>
          <w:p>
            <w:pPr>
              <w:spacing w:after="40"/>
            </w:pPr>
            <w:r>
              <w:t>Systèmes</w:t>
            </w:r>
          </w:p>
        </w:tc>
        <w:tc>
          <w:tcPr>
            <w:tcW w:type="dxa" w:w="3312"/>
            <w:shd w:fill="F7FAFD"/>
            <w:tcMar>
              <w:top w:w="100" w:type="dxa"/>
              <w:start w:w="120" w:type="dxa"/>
              <w:bottom w:w="100" w:type="dxa"/>
              <w:end w:w="120" w:type="dxa"/>
            </w:tcMar>
          </w:tcPr>
          <w:p>
            <w:pPr>
              <w:spacing w:after="40"/>
            </w:pPr>
            <w:r>
              <w:t>Windows, clé USB bootable, disque dur externe</w:t>
            </w:r>
          </w:p>
        </w:tc>
        <w:tc>
          <w:tcPr>
            <w:tcW w:type="dxa" w:w="3312"/>
            <w:shd w:fill="F7FAFD"/>
            <w:tcMar>
              <w:top w:w="100" w:type="dxa"/>
              <w:start w:w="120" w:type="dxa"/>
              <w:bottom w:w="100" w:type="dxa"/>
              <w:end w:w="120" w:type="dxa"/>
            </w:tcMar>
          </w:tcPr>
          <w:p>
            <w:pPr>
              <w:spacing w:after="40"/>
            </w:pPr>
            <w:r>
              <w:t>Installation, pilotes, mises à jour, image système</w:t>
            </w:r>
          </w:p>
        </w:tc>
      </w:tr>
      <w:tr>
        <w:tc>
          <w:tcPr>
            <w:tcW w:type="dxa" w:w="3312"/>
            <w:shd w:fill="FFFFFF"/>
            <w:tcMar>
              <w:top w:w="100" w:type="dxa"/>
              <w:start w:w="120" w:type="dxa"/>
              <w:bottom w:w="100" w:type="dxa"/>
              <w:end w:w="120" w:type="dxa"/>
            </w:tcMar>
          </w:tcPr>
          <w:p>
            <w:pPr>
              <w:spacing w:after="40"/>
            </w:pPr>
            <w:r>
              <w:t>Administration</w:t>
            </w:r>
          </w:p>
        </w:tc>
        <w:tc>
          <w:tcPr>
            <w:tcW w:type="dxa" w:w="3312"/>
            <w:shd w:fill="FFFFFF"/>
            <w:tcMar>
              <w:top w:w="100" w:type="dxa"/>
              <w:start w:w="120" w:type="dxa"/>
              <w:bottom w:w="100" w:type="dxa"/>
              <w:end w:w="120" w:type="dxa"/>
            </w:tcMar>
          </w:tcPr>
          <w:p>
            <w:pPr>
              <w:spacing w:after="40"/>
            </w:pPr>
            <w:r>
              <w:t>JumpCloud / authentification LDAP</w:t>
            </w:r>
          </w:p>
        </w:tc>
        <w:tc>
          <w:tcPr>
            <w:tcW w:type="dxa" w:w="3312"/>
            <w:shd w:fill="FFFFFF"/>
            <w:tcMar>
              <w:top w:w="100" w:type="dxa"/>
              <w:start w:w="120" w:type="dxa"/>
              <w:bottom w:w="100" w:type="dxa"/>
              <w:end w:w="120" w:type="dxa"/>
            </w:tcMar>
          </w:tcPr>
          <w:p>
            <w:pPr>
              <w:spacing w:after="40"/>
            </w:pPr>
            <w:r>
              <w:t>Gestion des utilisateurs et des appareils</w:t>
            </w:r>
          </w:p>
        </w:tc>
      </w:tr>
      <w:tr>
        <w:tc>
          <w:tcPr>
            <w:tcW w:type="dxa" w:w="3312"/>
            <w:shd w:fill="F7FAFD"/>
            <w:tcMar>
              <w:top w:w="100" w:type="dxa"/>
              <w:start w:w="120" w:type="dxa"/>
              <w:bottom w:w="100" w:type="dxa"/>
              <w:end w:w="120" w:type="dxa"/>
            </w:tcMar>
          </w:tcPr>
          <w:p>
            <w:pPr>
              <w:spacing w:after="40"/>
            </w:pPr>
            <w:r>
              <w:t>Réseau</w:t>
            </w:r>
          </w:p>
        </w:tc>
        <w:tc>
          <w:tcPr>
            <w:tcW w:type="dxa" w:w="3312"/>
            <w:shd w:fill="F7FAFD"/>
            <w:tcMar>
              <w:top w:w="100" w:type="dxa"/>
              <w:start w:w="120" w:type="dxa"/>
              <w:bottom w:w="100" w:type="dxa"/>
              <w:end w:w="120" w:type="dxa"/>
            </w:tcMar>
          </w:tcPr>
          <w:p>
            <w:pPr>
              <w:spacing w:after="40"/>
            </w:pPr>
            <w:r>
              <w:t>Ethernet, Wi-Fi, TP-Link Omada ER605</w:t>
            </w:r>
          </w:p>
        </w:tc>
        <w:tc>
          <w:tcPr>
            <w:tcW w:type="dxa" w:w="3312"/>
            <w:shd w:fill="F7FAFD"/>
            <w:tcMar>
              <w:top w:w="100" w:type="dxa"/>
              <w:start w:w="120" w:type="dxa"/>
              <w:bottom w:w="100" w:type="dxa"/>
              <w:end w:w="120" w:type="dxa"/>
            </w:tcMar>
          </w:tcPr>
          <w:p>
            <w:pPr>
              <w:spacing w:after="40"/>
            </w:pPr>
            <w:r>
              <w:t>Connectivité, câblage et continuité réseau</w:t>
            </w:r>
          </w:p>
        </w:tc>
      </w:tr>
      <w:tr>
        <w:tc>
          <w:tcPr>
            <w:tcW w:type="dxa" w:w="3312"/>
            <w:shd w:fill="FFFFFF"/>
            <w:tcMar>
              <w:top w:w="100" w:type="dxa"/>
              <w:start w:w="120" w:type="dxa"/>
              <w:bottom w:w="100" w:type="dxa"/>
              <w:end w:w="120" w:type="dxa"/>
            </w:tcMar>
          </w:tcPr>
          <w:p>
            <w:pPr>
              <w:spacing w:after="40"/>
            </w:pPr>
            <w:r>
              <w:t>Continuité</w:t>
            </w:r>
          </w:p>
        </w:tc>
        <w:tc>
          <w:tcPr>
            <w:tcW w:type="dxa" w:w="3312"/>
            <w:shd w:fill="FFFFFF"/>
            <w:tcMar>
              <w:top w:w="100" w:type="dxa"/>
              <w:start w:w="120" w:type="dxa"/>
              <w:bottom w:w="100" w:type="dxa"/>
              <w:end w:w="120" w:type="dxa"/>
            </w:tcMar>
          </w:tcPr>
          <w:p>
            <w:pPr>
              <w:spacing w:after="40"/>
            </w:pPr>
            <w:r>
              <w:t>Link Backup</w:t>
            </w:r>
          </w:p>
        </w:tc>
        <w:tc>
          <w:tcPr>
            <w:tcW w:type="dxa" w:w="3312"/>
            <w:shd w:fill="FFFFFF"/>
            <w:tcMar>
              <w:top w:w="100" w:type="dxa"/>
              <w:start w:w="120" w:type="dxa"/>
              <w:bottom w:w="100" w:type="dxa"/>
              <w:end w:w="120" w:type="dxa"/>
            </w:tcMar>
          </w:tcPr>
          <w:p>
            <w:pPr>
              <w:spacing w:after="40"/>
            </w:pPr>
            <w:r>
              <w:t>Basculement automatique vers une seconde connexion</w:t>
            </w:r>
          </w:p>
        </w:tc>
      </w:tr>
      <w:tr>
        <w:tc>
          <w:tcPr>
            <w:tcW w:type="dxa" w:w="3312"/>
            <w:shd w:fill="F7FAFD"/>
            <w:tcMar>
              <w:top w:w="100" w:type="dxa"/>
              <w:start w:w="120" w:type="dxa"/>
              <w:bottom w:w="100" w:type="dxa"/>
              <w:end w:w="120" w:type="dxa"/>
            </w:tcMar>
          </w:tcPr>
          <w:p>
            <w:pPr>
              <w:spacing w:after="40"/>
            </w:pPr>
            <w:r>
              <w:t>Audiovisuel</w:t>
            </w:r>
          </w:p>
        </w:tc>
        <w:tc>
          <w:tcPr>
            <w:tcW w:type="dxa" w:w="3312"/>
            <w:shd w:fill="F7FAFD"/>
            <w:tcMar>
              <w:top w:w="100" w:type="dxa"/>
              <w:start w:w="120" w:type="dxa"/>
              <w:bottom w:w="100" w:type="dxa"/>
              <w:end w:w="120" w:type="dxa"/>
            </w:tcMar>
          </w:tcPr>
          <w:p>
            <w:pPr>
              <w:spacing w:after="40"/>
            </w:pPr>
            <w:r>
              <w:t>TV, HDMI, USB-C</w:t>
            </w:r>
          </w:p>
        </w:tc>
        <w:tc>
          <w:tcPr>
            <w:tcW w:type="dxa" w:w="3312"/>
            <w:shd w:fill="F7FAFD"/>
            <w:tcMar>
              <w:top w:w="100" w:type="dxa"/>
              <w:start w:w="120" w:type="dxa"/>
              <w:bottom w:w="100" w:type="dxa"/>
              <w:end w:w="120" w:type="dxa"/>
            </w:tcMar>
          </w:tcPr>
          <w:p>
            <w:pPr>
              <w:spacing w:after="40"/>
            </w:pPr>
            <w:r>
              <w:t>Connexion des postes aux écrans et documentation</w:t>
            </w:r>
          </w:p>
        </w:tc>
      </w:tr>
      <w:tr>
        <w:tc>
          <w:tcPr>
            <w:tcW w:type="dxa" w:w="3312"/>
            <w:shd w:fill="FFFFFF"/>
            <w:tcMar>
              <w:top w:w="100" w:type="dxa"/>
              <w:start w:w="120" w:type="dxa"/>
              <w:bottom w:w="100" w:type="dxa"/>
              <w:end w:w="120" w:type="dxa"/>
            </w:tcMar>
          </w:tcPr>
          <w:p>
            <w:pPr>
              <w:spacing w:after="40"/>
            </w:pPr>
            <w:r>
              <w:t>Parc</w:t>
            </w:r>
          </w:p>
        </w:tc>
        <w:tc>
          <w:tcPr>
            <w:tcW w:type="dxa" w:w="3312"/>
            <w:shd w:fill="FFFFFF"/>
            <w:tcMar>
              <w:top w:w="100" w:type="dxa"/>
              <w:start w:w="120" w:type="dxa"/>
              <w:bottom w:w="100" w:type="dxa"/>
              <w:end w:w="120" w:type="dxa"/>
            </w:tcMar>
          </w:tcPr>
          <w:p>
            <w:pPr>
              <w:spacing w:after="40"/>
            </w:pPr>
            <w:r>
              <w:t>Laptops, docking stations, microphones</w:t>
            </w:r>
          </w:p>
        </w:tc>
        <w:tc>
          <w:tcPr>
            <w:tcW w:type="dxa" w:w="3312"/>
            <w:shd w:fill="FFFFFF"/>
            <w:tcMar>
              <w:top w:w="100" w:type="dxa"/>
              <w:start w:w="120" w:type="dxa"/>
              <w:bottom w:w="100" w:type="dxa"/>
              <w:end w:w="120" w:type="dxa"/>
            </w:tcMar>
          </w:tcPr>
          <w:p>
            <w:pPr>
              <w:spacing w:after="40"/>
            </w:pPr>
            <w:r>
              <w:t>Tests, dépannage, identification et inventaire</w:t>
            </w:r>
          </w:p>
        </w:tc>
      </w:tr>
      <w:tr>
        <w:tc>
          <w:tcPr>
            <w:tcW w:type="dxa" w:w="3312"/>
            <w:shd w:fill="F7FAFD"/>
            <w:tcMar>
              <w:top w:w="100" w:type="dxa"/>
              <w:start w:w="120" w:type="dxa"/>
              <w:bottom w:w="100" w:type="dxa"/>
              <w:end w:w="120" w:type="dxa"/>
            </w:tcMar>
          </w:tcPr>
          <w:p>
            <w:pPr>
              <w:spacing w:after="40"/>
            </w:pPr>
            <w:r>
              <w:t>Gestion</w:t>
            </w:r>
          </w:p>
        </w:tc>
        <w:tc>
          <w:tcPr>
            <w:tcW w:type="dxa" w:w="3312"/>
            <w:shd w:fill="F7FAFD"/>
            <w:tcMar>
              <w:top w:w="100" w:type="dxa"/>
              <w:start w:w="120" w:type="dxa"/>
              <w:bottom w:w="100" w:type="dxa"/>
              <w:end w:w="120" w:type="dxa"/>
            </w:tcMar>
          </w:tcPr>
          <w:p>
            <w:pPr>
              <w:spacing w:after="40"/>
            </w:pPr>
            <w:r>
              <w:t>Nexus CRM</w:t>
            </w:r>
          </w:p>
        </w:tc>
        <w:tc>
          <w:tcPr>
            <w:tcW w:type="dxa" w:w="3312"/>
            <w:shd w:fill="F7FAFD"/>
            <w:tcMar>
              <w:top w:w="100" w:type="dxa"/>
              <w:start w:w="120" w:type="dxa"/>
              <w:bottom w:w="100" w:type="dxa"/>
              <w:end w:w="120" w:type="dxa"/>
            </w:tcMar>
          </w:tcPr>
          <w:p>
            <w:pPr>
              <w:spacing w:after="40"/>
            </w:pPr>
            <w:r>
              <w:t>Documentation des équipements et informations utiles</w:t>
            </w:r>
          </w:p>
        </w:tc>
      </w:tr>
    </w:tbl>
    <w:p/>
    <w:tbl>
      <w:tblPr>
        <w:tblStyle w:val="TableGrid"/>
        <w:tblW w:type="auto" w:w="0"/>
        <w:jc w:val="center"/>
        <w:tblLayout w:type="autofit"/>
        <w:tblLook w:firstColumn="1" w:firstRow="1" w:lastColumn="0" w:lastRow="0" w:noHBand="0" w:noVBand="1" w:val="04A0"/>
      </w:tblPr>
      <w:tblGrid>
        <w:gridCol w:w="9936"/>
      </w:tblGrid>
      <w:tr>
        <w:tc>
          <w:tcPr>
            <w:tcW w:type="dxa" w:w="9936"/>
            <w:shd w:fill="EAF4EA"/>
            <w:tcMar>
              <w:top w:w="150" w:type="dxa"/>
              <w:start w:w="180" w:type="dxa"/>
              <w:bottom w:w="150" w:type="dxa"/>
              <w:end w:w="180" w:type="dxa"/>
            </w:tcMar>
          </w:tcPr>
          <w:p>
            <w:pPr>
              <w:spacing w:after="40"/>
            </w:pPr>
            <w:r>
              <w:rPr>
                <w:b/>
                <w:color w:val="1F4E79"/>
                <w:sz w:val="22"/>
              </w:rPr>
              <w:t>🌐 Architecture réseau — représentation simplifiée à insérer</w:t>
            </w:r>
          </w:p>
          <w:p>
            <w:pPr>
              <w:spacing w:after="40"/>
            </w:pPr>
            <w:r>
              <w:rPr>
                <w:sz w:val="21"/>
              </w:rPr>
              <w:t>Connexion principale ─┐</w:t>
              <w:br/>
              <w:t xml:space="preserve">                    ├─ TP-Link Omada ER605 → réseau local → postes / salles / équipements</w:t>
              <w:br/>
              <w:t>Connexion secondaire ─┘</w:t>
              <w:br/>
              <w:t>Le Link Backup permet le basculement automatique vers la seconde connexion lorsque la connexion principale devient indisponible.</w:t>
            </w:r>
          </w:p>
        </w:tc>
      </w:tr>
    </w:tbl>
    <w:p>
      <w:pPr>
        <w:spacing w:after="20"/>
      </w:pPr>
    </w:p>
    <w:p>
      <w:pPr>
        <w:pStyle w:val="Heading1"/>
        <w:spacing w:before="240" w:after="160"/>
      </w:pPr>
      <w:r>
        <w:rPr>
          <w:color w:val="1F4E79"/>
        </w:rPr>
        <w:t>5. Réalisations professionnelles effectuées</w:t>
      </w:r>
    </w:p>
    <w:p>
      <w:r>
        <w:t>Les réalisations sont présentées selon une logique professionnelle. Pour chaque intervention, le besoin et les contraintes sont identifiés, puis la démarche, les vérifications et le résultat sont précisés. Les deux modes demandés dans le rapport sont distingués :</w:t>
      </w:r>
    </w:p>
    <w:p>
      <w:pPr>
        <w:pStyle w:val="ListBullet"/>
        <w:spacing w:after="60"/>
      </w:pPr>
      <w:r>
        <w:t>Mode service : préparation, déploiement, maintenance, assistance, inventaire et administration du parc.</w:t>
      </w:r>
    </w:p>
    <w:p>
      <w:pPr>
        <w:pStyle w:val="ListBullet"/>
        <w:spacing w:after="60"/>
      </w:pPr>
      <w:r>
        <w:t>Mode projet : étude et mise en place d’une solution répondant à un besoin d’évolution, notamment autour de la continuité réseau.</w:t>
      </w:r>
    </w:p>
    <w:p>
      <w:pPr>
        <w:pStyle w:val="Heading2"/>
        <w:spacing w:before="200" w:after="100"/>
      </w:pPr>
      <w:r>
        <w:rPr>
          <w:color w:val="2E74B5"/>
        </w:rPr>
        <w:t>5.1  Installation et préparation d’un ordinateur</w:t>
      </w:r>
      <w:r>
        <w:rPr>
          <w:b/>
          <w:color w:val="595959"/>
          <w:sz w:val="18"/>
        </w:rPr>
        <w:t xml:space="preserve">   [Service]</w:t>
      </w:r>
    </w:p>
    <w:p>
      <w:pPr>
        <w:spacing w:after="100"/>
      </w:pPr>
      <w:r>
        <w:rPr>
          <w:b/>
          <w:color w:val="1F4E79"/>
        </w:rPr>
        <w:t xml:space="preserve">Expression du besoin + contraintes : </w:t>
      </w:r>
      <w:r>
        <w:t>Préparer un ordinateur pour son utilisation dans l’environnement informatique.</w:t>
      </w:r>
    </w:p>
    <w:p>
      <w:pPr>
        <w:spacing w:after="100"/>
      </w:pPr>
      <w:r>
        <w:rPr>
          <w:b/>
          <w:color w:val="1F4E79"/>
        </w:rPr>
        <w:t xml:space="preserve">Démarche réalisée : </w:t>
      </w:r>
      <w:r>
        <w:t>Démarrer le poste depuis une clé USB bootable ou un support externe ; installer les pilotes et les différentes mises à jour ; renommer le poste ; créer un compte administrateur local.</w:t>
      </w:r>
    </w:p>
    <w:p>
      <w:pPr>
        <w:spacing w:after="100"/>
      </w:pPr>
      <w:r>
        <w:rPr>
          <w:b/>
          <w:color w:val="1F4E79"/>
        </w:rPr>
        <w:t xml:space="preserve">Vérifications effectuées : </w:t>
      </w:r>
      <w:r>
        <w:t>Redémarrage du poste, vérification des pilotes, contrôle des mises à jour et vérification de l’accès administrateur.</w:t>
      </w:r>
    </w:p>
    <w:p>
      <w:pPr>
        <w:spacing w:after="100"/>
      </w:pPr>
      <w:r>
        <w:rPr>
          <w:b/>
          <w:color w:val="1F4E79"/>
        </w:rPr>
        <w:t xml:space="preserve">Résultat : </w:t>
      </w:r>
      <w:r>
        <w:t>Ordinateur préparé et prêt à être utilisé.</w:t>
      </w:r>
    </w:p>
    <w:p>
      <w:pPr>
        <w:pStyle w:val="Heading2"/>
        <w:spacing w:before="200" w:after="100"/>
      </w:pPr>
      <w:r>
        <w:rPr>
          <w:color w:val="2E74B5"/>
        </w:rPr>
        <w:t>5.2  Docking stations — vérification, dépannage et inventaire</w:t>
      </w:r>
      <w:r>
        <w:rPr>
          <w:b/>
          <w:color w:val="595959"/>
          <w:sz w:val="18"/>
        </w:rPr>
        <w:t xml:space="preserve">   [Service]</w:t>
      </w:r>
    </w:p>
    <w:p>
      <w:pPr>
        <w:spacing w:after="100"/>
      </w:pPr>
      <w:r>
        <w:rPr>
          <w:b/>
          <w:color w:val="1F4E79"/>
        </w:rPr>
        <w:t xml:space="preserve">Expression du besoin + contraintes : </w:t>
      </w:r>
      <w:r>
        <w:t>S’assurer que les stations d’accueil fonctionnent correctement avec les ordinateurs portables et que le parc est correctement identifié.</w:t>
      </w:r>
    </w:p>
    <w:p>
      <w:pPr>
        <w:spacing w:after="100"/>
      </w:pPr>
      <w:r>
        <w:rPr>
          <w:b/>
          <w:color w:val="1F4E79"/>
        </w:rPr>
        <w:t xml:space="preserve">Démarche réalisée : </w:t>
      </w:r>
      <w:r>
        <w:t>Tester les stations avec deux laptops ; vérifier l’USB-C, HDMI, clavier et souris ; rechercher des pistes de correction en cas de problème ; étiqueter les équipements avec des références de type DS-01 ; compléter l’inventaire.</w:t>
      </w:r>
    </w:p>
    <w:p>
      <w:pPr>
        <w:spacing w:after="100"/>
      </w:pPr>
      <w:r>
        <w:rPr>
          <w:b/>
          <w:color w:val="1F4E79"/>
        </w:rPr>
        <w:t xml:space="preserve">Vérifications effectuées : </w:t>
      </w:r>
      <w:r>
        <w:t>Tests de connexion USB-C, affichage HDMI et périphériques USB ; contrôle de la cohérence des références.</w:t>
      </w:r>
    </w:p>
    <w:p>
      <w:pPr>
        <w:spacing w:after="100"/>
      </w:pPr>
      <w:r>
        <w:rPr>
          <w:b/>
          <w:color w:val="1F4E79"/>
        </w:rPr>
        <w:t xml:space="preserve">Résultat : </w:t>
      </w:r>
      <w:r>
        <w:t>Stations testées, identifiées et intégrées à l’inventaire.</w:t>
      </w:r>
    </w:p>
    <w:p>
      <w:pPr>
        <w:pStyle w:val="Heading2"/>
        <w:spacing w:before="200" w:after="100"/>
      </w:pPr>
      <w:r>
        <w:rPr>
          <w:color w:val="2E74B5"/>
        </w:rPr>
        <w:t>5.3  Amélioration de l’authentification LDAP / JumpCloud</w:t>
      </w:r>
      <w:r>
        <w:rPr>
          <w:b/>
          <w:color w:val="595959"/>
          <w:sz w:val="18"/>
        </w:rPr>
        <w:t xml:space="preserve">   [Projet / étude]</w:t>
      </w:r>
    </w:p>
    <w:p>
      <w:pPr>
        <w:spacing w:after="100"/>
      </w:pPr>
      <w:r>
        <w:rPr>
          <w:b/>
          <w:color w:val="1F4E79"/>
        </w:rPr>
        <w:t xml:space="preserve">Expression du besoin + contraintes : </w:t>
      </w:r>
      <w:r>
        <w:t>Améliorer l’organisation de l’authentification et de l’administration des utilisateurs et des postes.</w:t>
      </w:r>
    </w:p>
    <w:p>
      <w:pPr>
        <w:spacing w:after="100"/>
      </w:pPr>
      <w:r>
        <w:rPr>
          <w:b/>
          <w:color w:val="1F4E79"/>
        </w:rPr>
        <w:t xml:space="preserve">Démarche réalisée : </w:t>
      </w:r>
      <w:r>
        <w:t>Configurer l’environnement JumpCloud ; identifier la limite observée de 10 utilisateurs / 10 appareils ; rechercher des alternatives présentant moins de limitations ; comparer les solutions dans une enveloppe de 10 à 20 € par mois.</w:t>
      </w:r>
    </w:p>
    <w:p>
      <w:pPr>
        <w:spacing w:after="100"/>
      </w:pPr>
      <w:r>
        <w:rPr>
          <w:b/>
          <w:color w:val="1F4E79"/>
        </w:rPr>
        <w:t xml:space="preserve">Vérifications effectuées : </w:t>
      </w:r>
      <w:r>
        <w:t>Vérification de la limite, analyse des possibilités d’évolution et comparaison des contraintes.</w:t>
      </w:r>
    </w:p>
    <w:p>
      <w:pPr>
        <w:spacing w:after="100"/>
      </w:pPr>
      <w:r>
        <w:rPr>
          <w:b/>
          <w:color w:val="1F4E79"/>
        </w:rPr>
        <w:t xml:space="preserve">Résultat : </w:t>
      </w:r>
      <w:r>
        <w:t>Une étude d’évolution de la solution d’authentification a été menée et documentée.</w:t>
      </w:r>
    </w:p>
    <w:p>
      <w:pPr>
        <w:pStyle w:val="Heading2"/>
        <w:spacing w:before="200" w:after="100"/>
      </w:pPr>
      <w:r>
        <w:rPr>
          <w:color w:val="2E74B5"/>
        </w:rPr>
        <w:t>5.4  Déploiement des postes des salles de réunion</w:t>
      </w:r>
      <w:r>
        <w:rPr>
          <w:b/>
          <w:color w:val="595959"/>
          <w:sz w:val="18"/>
        </w:rPr>
        <w:t xml:space="preserve">   [Service]</w:t>
      </w:r>
    </w:p>
    <w:p>
      <w:pPr>
        <w:spacing w:after="100"/>
      </w:pPr>
      <w:r>
        <w:rPr>
          <w:b/>
          <w:color w:val="1F4E79"/>
        </w:rPr>
        <w:t xml:space="preserve">Expression du besoin + contraintes : </w:t>
      </w:r>
      <w:r>
        <w:t>Préparer les ordinateurs des salles 1, 2, A, B, C et D afin de disposer d’un parc homogène et administrable.</w:t>
      </w:r>
    </w:p>
    <w:p>
      <w:pPr>
        <w:spacing w:after="100"/>
      </w:pPr>
      <w:r>
        <w:rPr>
          <w:b/>
          <w:color w:val="1F4E79"/>
        </w:rPr>
        <w:t xml:space="preserve">Démarche réalisée : </w:t>
      </w:r>
      <w:r>
        <w:t>Faire retirer les postes de l’ancien environnement JumpCloud ; désinstaller l’agent ; supprimer les anciens utilisateurs non administrateurs ; attribuer les noms Desktop-1-1, Desktop-2-2, Desktop-3-A, Desktop-4-B, Desktop-5-C et Desktop-6-D ; réinstaller l’agent avec le nouveau code fourni par l’entreprise ; rattacher les appareils aux groupes ; redémarrer ; créer les utilisateurs nécessaires ; appliquer les éléments de personnalisation demandés ; étiqueter les postes et documenter l’ensemble dans Nexus CRM.</w:t>
      </w:r>
    </w:p>
    <w:p>
      <w:pPr>
        <w:spacing w:after="100"/>
      </w:pPr>
      <w:r>
        <w:rPr>
          <w:b/>
          <w:color w:val="1F4E79"/>
        </w:rPr>
        <w:t xml:space="preserve">Vérifications effectuées : </w:t>
      </w:r>
      <w:r>
        <w:t>Contrôle des noms, groupes, utilisateurs, redémarrage, accès et présence des anciennes configurations locales.</w:t>
      </w:r>
    </w:p>
    <w:p>
      <w:pPr>
        <w:spacing w:after="100"/>
      </w:pPr>
      <w:r>
        <w:rPr>
          <w:b/>
          <w:color w:val="1F4E79"/>
        </w:rPr>
        <w:t xml:space="preserve">Résultat : </w:t>
      </w:r>
      <w:r>
        <w:t>Les postes ont été préparés, intégrés à l’administration centralisée et identifiés.</w:t>
      </w:r>
    </w:p>
    <w:p>
      <w:pPr>
        <w:pStyle w:val="Heading2"/>
        <w:spacing w:before="200" w:after="100"/>
      </w:pPr>
      <w:r>
        <w:rPr>
          <w:color w:val="2E74B5"/>
        </w:rPr>
        <w:t>5.5  Documentation HDMI et identification des écrans</w:t>
      </w:r>
      <w:r>
        <w:rPr>
          <w:b/>
          <w:color w:val="595959"/>
          <w:sz w:val="18"/>
        </w:rPr>
        <w:t xml:space="preserve">   [Service]</w:t>
      </w:r>
    </w:p>
    <w:p>
      <w:pPr>
        <w:spacing w:after="100"/>
      </w:pPr>
      <w:r>
        <w:rPr>
          <w:b/>
          <w:color w:val="1F4E79"/>
        </w:rPr>
        <w:t xml:space="preserve">Expression du besoin + contraintes : </w:t>
      </w:r>
      <w:r>
        <w:t>Faciliter l’utilisation des salles en documentant les connexions entre les ordinateurs et les téléviseurs.</w:t>
      </w:r>
    </w:p>
    <w:p>
      <w:pPr>
        <w:spacing w:after="100"/>
      </w:pPr>
      <w:r>
        <w:rPr>
          <w:b/>
          <w:color w:val="1F4E79"/>
        </w:rPr>
        <w:t xml:space="preserve">Démarche réalisée : </w:t>
      </w:r>
      <w:r>
        <w:t>Identifier les écrans TV-1-1, TV-2-1, TV-3-A, TV-4-B, TV-5-C et TV-6-D ; documenter la connexion HDMI 1 ; utiliser un câble HDMI long lorsque cela était possible ; reporter les informations utiles dans Nexus CRM.</w:t>
      </w:r>
    </w:p>
    <w:p>
      <w:pPr>
        <w:spacing w:after="100"/>
      </w:pPr>
      <w:r>
        <w:rPr>
          <w:b/>
          <w:color w:val="1F4E79"/>
        </w:rPr>
        <w:t xml:space="preserve">Vérifications effectuées : </w:t>
      </w:r>
      <w:r>
        <w:t>Test d’affichage et contrôle de la correspondance entre chaque poste, écran et connexion.</w:t>
      </w:r>
    </w:p>
    <w:p>
      <w:pPr>
        <w:spacing w:after="100"/>
      </w:pPr>
      <w:r>
        <w:rPr>
          <w:b/>
          <w:color w:val="1F4E79"/>
        </w:rPr>
        <w:t xml:space="preserve">Résultat : </w:t>
      </w:r>
      <w:r>
        <w:t>Les connexions et identifiants ont été documentés pour faciliter l’assistance et l’utilisation des salles.</w:t>
      </w:r>
    </w:p>
    <w:p>
      <w:pPr>
        <w:pStyle w:val="Heading2"/>
        <w:spacing w:before="200" w:after="100"/>
      </w:pPr>
      <w:r>
        <w:rPr>
          <w:color w:val="2E74B5"/>
        </w:rPr>
        <w:t>5.6  Création de nouveaux utilisateurs JumpCloud</w:t>
      </w:r>
      <w:r>
        <w:rPr>
          <w:b/>
          <w:color w:val="595959"/>
          <w:sz w:val="18"/>
        </w:rPr>
        <w:t xml:space="preserve">   [Service]</w:t>
      </w:r>
    </w:p>
    <w:p>
      <w:pPr>
        <w:spacing w:after="100"/>
      </w:pPr>
      <w:r>
        <w:rPr>
          <w:b/>
          <w:color w:val="1F4E79"/>
        </w:rPr>
        <w:t xml:space="preserve">Expression du besoin + contraintes : </w:t>
      </w:r>
      <w:r>
        <w:t>Créer les comptes nécessaires à l’utilisation des postes administrés.</w:t>
      </w:r>
    </w:p>
    <w:p>
      <w:pPr>
        <w:spacing w:after="100"/>
      </w:pPr>
      <w:r>
        <w:rPr>
          <w:b/>
          <w:color w:val="1F4E79"/>
        </w:rPr>
        <w:t xml:space="preserve">Démarche réalisée : </w:t>
      </w:r>
      <w:r>
        <w:t>Créer les nouveaux utilisateurs dans JumpCloud, notamment dans l’environnement prévu pour les comptes de l’entreprise ; rattacher les utilisateurs aux ressources nécessaires selon les consignes.</w:t>
      </w:r>
    </w:p>
    <w:p>
      <w:pPr>
        <w:spacing w:after="100"/>
      </w:pPr>
      <w:r>
        <w:rPr>
          <w:b/>
          <w:color w:val="1F4E79"/>
        </w:rPr>
        <w:t xml:space="preserve">Vérifications effectuées : </w:t>
      </w:r>
      <w:r>
        <w:t>Vérification de la présence des comptes, de leur rattachement et de leur possibilité d’utilisation.</w:t>
      </w:r>
    </w:p>
    <w:p>
      <w:pPr>
        <w:spacing w:after="100"/>
      </w:pPr>
      <w:r>
        <w:rPr>
          <w:b/>
          <w:color w:val="1F4E79"/>
        </w:rPr>
        <w:t xml:space="preserve">Résultat : </w:t>
      </w:r>
      <w:r>
        <w:t>Les comptes demandés ont été créés et intégrés à l’administration des postes.</w:t>
      </w:r>
    </w:p>
    <w:p>
      <w:pPr>
        <w:pStyle w:val="Heading2"/>
        <w:spacing w:before="200" w:after="100"/>
      </w:pPr>
      <w:r>
        <w:rPr>
          <w:color w:val="2E74B5"/>
        </w:rPr>
        <w:t>5.7  Préparation d’une image système pour l’ordinateur du café</w:t>
      </w:r>
      <w:r>
        <w:rPr>
          <w:b/>
          <w:color w:val="595959"/>
          <w:sz w:val="18"/>
        </w:rPr>
        <w:t xml:space="preserve">   [Service]</w:t>
      </w:r>
    </w:p>
    <w:p>
      <w:pPr>
        <w:spacing w:after="100"/>
      </w:pPr>
      <w:r>
        <w:rPr>
          <w:b/>
          <w:color w:val="1F4E79"/>
        </w:rPr>
        <w:t xml:space="preserve">Expression du besoin + contraintes : </w:t>
      </w:r>
      <w:r>
        <w:t>Permettre le déploiement d’une configuration système homogène sur l’ordinateur de l’espace café.</w:t>
      </w:r>
    </w:p>
    <w:p>
      <w:pPr>
        <w:spacing w:after="100"/>
      </w:pPr>
      <w:r>
        <w:rPr>
          <w:b/>
          <w:color w:val="1F4E79"/>
        </w:rPr>
        <w:t xml:space="preserve">Démarche réalisée : </w:t>
      </w:r>
      <w:r>
        <w:t>Récupérer l’image système de la salle 2 et la préparer sur un disque dur externe afin de pouvoir la charger sur l’ordinateur concerné.</w:t>
      </w:r>
    </w:p>
    <w:p>
      <w:pPr>
        <w:spacing w:after="100"/>
      </w:pPr>
      <w:r>
        <w:rPr>
          <w:b/>
          <w:color w:val="1F4E79"/>
        </w:rPr>
        <w:t xml:space="preserve">Vérifications effectuées : </w:t>
      </w:r>
      <w:r>
        <w:t>Contrôle du support externe et vérification que l’image est disponible pour une restauration.</w:t>
      </w:r>
    </w:p>
    <w:p>
      <w:pPr>
        <w:spacing w:after="100"/>
      </w:pPr>
      <w:r>
        <w:rPr>
          <w:b/>
          <w:color w:val="1F4E79"/>
        </w:rPr>
        <w:t xml:space="preserve">Résultat : </w:t>
      </w:r>
      <w:r>
        <w:t>Une image système prête à être utilisée pour le déploiement a été préparée.</w:t>
      </w:r>
    </w:p>
    <w:p>
      <w:pPr>
        <w:pStyle w:val="Heading2"/>
        <w:spacing w:before="200" w:after="100"/>
      </w:pPr>
      <w:r>
        <w:rPr>
          <w:color w:val="2E74B5"/>
        </w:rPr>
        <w:t>5.8  Microphones — vérification, dépannage et inventaire</w:t>
      </w:r>
      <w:r>
        <w:rPr>
          <w:b/>
          <w:color w:val="595959"/>
          <w:sz w:val="18"/>
        </w:rPr>
        <w:t xml:space="preserve">   [Service]</w:t>
      </w:r>
    </w:p>
    <w:p>
      <w:pPr>
        <w:spacing w:after="100"/>
      </w:pPr>
      <w:r>
        <w:rPr>
          <w:b/>
          <w:color w:val="1F4E79"/>
        </w:rPr>
        <w:t xml:space="preserve">Expression du besoin + contraintes : </w:t>
      </w:r>
      <w:r>
        <w:t>S’assurer que les microphones disponibles sont fonctionnels et correctement inventoriés.</w:t>
      </w:r>
    </w:p>
    <w:p>
      <w:pPr>
        <w:spacing w:after="100"/>
      </w:pPr>
      <w:r>
        <w:rPr>
          <w:b/>
          <w:color w:val="1F4E79"/>
        </w:rPr>
        <w:t xml:space="preserve">Démarche réalisée : </w:t>
      </w:r>
      <w:r>
        <w:t>Tester les microphones sur un ordinateur de référence ; rechercher les causes de dysfonctionnement ; identifier les équipements ; tenir compte des références déjà utilisées, M0 à M3 ; compléter l’inventaire.</w:t>
      </w:r>
    </w:p>
    <w:p>
      <w:pPr>
        <w:spacing w:after="100"/>
      </w:pPr>
      <w:r>
        <w:rPr>
          <w:b/>
          <w:color w:val="1F4E79"/>
        </w:rPr>
        <w:t xml:space="preserve">Vérifications effectuées : </w:t>
      </w:r>
      <w:r>
        <w:t>Test audio, reconnaissance du périphérique et contrôle de la référence attribuée.</w:t>
      </w:r>
    </w:p>
    <w:p>
      <w:pPr>
        <w:spacing w:after="100"/>
      </w:pPr>
      <w:r>
        <w:rPr>
          <w:b/>
          <w:color w:val="1F4E79"/>
        </w:rPr>
        <w:t xml:space="preserve">Résultat : </w:t>
      </w:r>
      <w:r>
        <w:t>Les microphones ont été vérifiés, identifiés et documentés.</w:t>
      </w:r>
    </w:p>
    <w:p>
      <w:pPr>
        <w:pStyle w:val="Heading2"/>
        <w:spacing w:before="200" w:after="100"/>
      </w:pPr>
      <w:r>
        <w:rPr>
          <w:color w:val="2E74B5"/>
        </w:rPr>
        <w:t>5.9  Câblage Ethernet — plafond, salle C</w:t>
      </w:r>
      <w:r>
        <w:rPr>
          <w:b/>
          <w:color w:val="595959"/>
          <w:sz w:val="18"/>
        </w:rPr>
        <w:t xml:space="preserve">   [Service]</w:t>
      </w:r>
    </w:p>
    <w:p>
      <w:pPr>
        <w:spacing w:after="100"/>
      </w:pPr>
      <w:r>
        <w:rPr>
          <w:b/>
          <w:color w:val="1F4E79"/>
        </w:rPr>
        <w:t xml:space="preserve">Expression du besoin + contraintes : </w:t>
      </w:r>
      <w:r>
        <w:t>Mettre à disposition une liaison Ethernet adaptée pour l’équipement de la salle C.</w:t>
      </w:r>
    </w:p>
    <w:p>
      <w:pPr>
        <w:spacing w:after="100"/>
      </w:pPr>
      <w:r>
        <w:rPr>
          <w:b/>
          <w:color w:val="1F4E79"/>
        </w:rPr>
        <w:t xml:space="preserve">Démarche réalisée : </w:t>
      </w:r>
      <w:r>
        <w:t>Repérer le cheminement nécessaire, préparer l’intervention de câblage et vérifier la connexion au niveau du poste / équipement concerné.</w:t>
      </w:r>
    </w:p>
    <w:p>
      <w:pPr>
        <w:spacing w:after="100"/>
      </w:pPr>
      <w:r>
        <w:rPr>
          <w:b/>
          <w:color w:val="1F4E79"/>
        </w:rPr>
        <w:t xml:space="preserve">Vérifications effectuées : </w:t>
      </w:r>
      <w:r>
        <w:t>Contrôle physique de la liaison et vérification de la connectivité réseau.</w:t>
      </w:r>
    </w:p>
    <w:p>
      <w:pPr>
        <w:spacing w:after="100"/>
      </w:pPr>
      <w:r>
        <w:rPr>
          <w:b/>
          <w:color w:val="1F4E79"/>
        </w:rPr>
        <w:t xml:space="preserve">Résultat : </w:t>
      </w:r>
      <w:r>
        <w:t>Le besoin de raccordement Ethernet de la salle C a été pris en compte et vérifié.</w:t>
      </w:r>
    </w:p>
    <w:p>
      <w:pPr>
        <w:pStyle w:val="Heading2"/>
        <w:spacing w:before="200" w:after="100"/>
      </w:pPr>
      <w:r>
        <w:rPr>
          <w:color w:val="2E74B5"/>
        </w:rPr>
        <w:t>5.10  Génération de certificats étudiants</w:t>
      </w:r>
      <w:r>
        <w:rPr>
          <w:b/>
          <w:color w:val="595959"/>
          <w:sz w:val="18"/>
        </w:rPr>
        <w:t xml:space="preserve">   [Service]</w:t>
      </w:r>
    </w:p>
    <w:p>
      <w:pPr>
        <w:spacing w:after="100"/>
      </w:pPr>
      <w:r>
        <w:rPr>
          <w:b/>
          <w:color w:val="1F4E79"/>
        </w:rPr>
        <w:t xml:space="preserve">Expression du besoin + contraintes : </w:t>
      </w:r>
      <w:r>
        <w:t>Produire les certificats nécessaires pour les étudiants concernés.</w:t>
      </w:r>
    </w:p>
    <w:p>
      <w:pPr>
        <w:spacing w:after="100"/>
      </w:pPr>
      <w:r>
        <w:rPr>
          <w:b/>
          <w:color w:val="1F4E79"/>
        </w:rPr>
        <w:t xml:space="preserve">Démarche réalisée : </w:t>
      </w:r>
      <w:r>
        <w:t>Réaliser la génération des certificats selon la procédure disponible et les informations fournies.</w:t>
      </w:r>
    </w:p>
    <w:p>
      <w:pPr>
        <w:spacing w:after="100"/>
      </w:pPr>
      <w:r>
        <w:rPr>
          <w:b/>
          <w:color w:val="1F4E79"/>
        </w:rPr>
        <w:t xml:space="preserve">Vérifications effectuées : </w:t>
      </w:r>
      <w:r>
        <w:t>Contrôler la génération et la conformité des documents produits.</w:t>
      </w:r>
    </w:p>
    <w:p>
      <w:pPr>
        <w:spacing w:after="100"/>
      </w:pPr>
      <w:r>
        <w:rPr>
          <w:b/>
          <w:color w:val="1F4E79"/>
        </w:rPr>
        <w:t xml:space="preserve">Résultat : </w:t>
      </w:r>
      <w:r>
        <w:t>Les certificats demandés ont été générés.</w:t>
      </w:r>
    </w:p>
    <w:p>
      <w:pPr>
        <w:pStyle w:val="Heading2"/>
        <w:spacing w:before="200" w:after="100"/>
      </w:pPr>
      <w:r>
        <w:rPr>
          <w:color w:val="2E74B5"/>
        </w:rPr>
        <w:t>5.11  NexusCoworking Wi-Fi — continuité d’accès Internet</w:t>
      </w:r>
      <w:r>
        <w:rPr>
          <w:b/>
          <w:color w:val="595959"/>
          <w:sz w:val="18"/>
        </w:rPr>
        <w:t xml:space="preserve">   [Projet]</w:t>
      </w:r>
    </w:p>
    <w:p>
      <w:pPr>
        <w:spacing w:after="100"/>
      </w:pPr>
      <w:r>
        <w:rPr>
          <w:b/>
          <w:color w:val="1F4E79"/>
        </w:rPr>
        <w:t xml:space="preserve">Expression du besoin + contraintes : </w:t>
      </w:r>
      <w:r>
        <w:t>Rechercher une solution permettant de conserver un accès Internet en cas de défaillance d’une connexion.</w:t>
      </w:r>
    </w:p>
    <w:p>
      <w:pPr>
        <w:spacing w:after="100"/>
      </w:pPr>
      <w:r>
        <w:rPr>
          <w:b/>
          <w:color w:val="1F4E79"/>
        </w:rPr>
        <w:t xml:space="preserve">Démarche réalisée : </w:t>
      </w:r>
      <w:r>
        <w:t>Étudier une solution de type WLAN special switch et sa méthode d’intégration ; analyser les contraintes d’installation ; tenir compte de l’interdiction d’effectuer l’intervention pendant les heures normales de travail. En parallèle, le besoin de continuité a été traité autour d’un routeur TP-Link Omada ER605 avec deux connexions et le Link Backup.</w:t>
      </w:r>
    </w:p>
    <w:p>
      <w:pPr>
        <w:spacing w:after="100"/>
      </w:pPr>
      <w:r>
        <w:rPr>
          <w:b/>
          <w:color w:val="1F4E79"/>
        </w:rPr>
        <w:t xml:space="preserve">Vérifications effectuées : </w:t>
      </w:r>
      <w:r>
        <w:t>Vérifier la cohérence de la solution, son principe de basculement et les impacts possibles sur le réseau.</w:t>
      </w:r>
    </w:p>
    <w:p>
      <w:pPr>
        <w:spacing w:after="100"/>
      </w:pPr>
      <w:r>
        <w:rPr>
          <w:b/>
          <w:color w:val="1F4E79"/>
        </w:rPr>
        <w:t xml:space="preserve">Résultat : </w:t>
      </w:r>
      <w:r>
        <w:t>Une solution de continuité réseau a été étudiée et le fonctionnement du Link Backup sur l’ER605 a permis de répondre au besoin de basculement automatique vers une seconde connexion.</w:t>
      </w:r>
    </w:p>
    <w:p>
      <w:r>
        <w:br w:type="page"/>
      </w:r>
    </w:p>
    <w:p>
      <w:pPr>
        <w:pStyle w:val="Heading1"/>
        <w:spacing w:before="240" w:after="160"/>
      </w:pPr>
      <w:r>
        <w:rPr>
          <w:color w:val="1F4E79"/>
        </w:rPr>
        <w:t>6. Rapport hebdomadaire</w:t>
      </w:r>
    </w:p>
    <w:p>
      <w:r>
        <w:t>La prise de notes pendant le stage permet de conserver une trace des interventions, des problèmes rencontrés et des vérifications effectuées. Les éléments disponibles permettent de structurer les activités en trois grandes périodes. Les dates précises de chaque mission devront être reprises depuis les notes quotidiennes ou ClickUp afin de ne pas inventer de chronologie.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F4E79"/>
            <w:tcMar>
              <w:top w:w="100" w:type="dxa"/>
              <w:start w:w="120" w:type="dxa"/>
              <w:bottom w:w="100" w:type="dxa"/>
              <w:end w:w="120" w:type="dxa"/>
            </w:tcMar>
          </w:tcPr>
          <w:p>
            <w:pPr>
              <w:spacing w:after="40"/>
            </w:pPr>
            <w:r>
              <w:rPr>
                <w:b/>
                <w:color w:val="FFFFFF"/>
              </w:rPr>
              <w:t>Période</w:t>
            </w:r>
          </w:p>
        </w:tc>
        <w:tc>
          <w:tcPr>
            <w:tcW w:type="dxa" w:w="2484"/>
            <w:shd w:fill="1F4E79"/>
            <w:tcMar>
              <w:top w:w="100" w:type="dxa"/>
              <w:start w:w="120" w:type="dxa"/>
              <w:bottom w:w="100" w:type="dxa"/>
              <w:end w:w="120" w:type="dxa"/>
            </w:tcMar>
          </w:tcPr>
          <w:p>
            <w:pPr>
              <w:spacing w:after="40"/>
            </w:pPr>
            <w:r>
              <w:rPr>
                <w:b/>
                <w:color w:val="FFFFFF"/>
              </w:rPr>
              <w:t>Activités principales</w:t>
            </w:r>
          </w:p>
        </w:tc>
        <w:tc>
          <w:tcPr>
            <w:tcW w:type="dxa" w:w="2484"/>
            <w:shd w:fill="1F4E79"/>
            <w:tcMar>
              <w:top w:w="100" w:type="dxa"/>
              <w:start w:w="120" w:type="dxa"/>
              <w:bottom w:w="100" w:type="dxa"/>
              <w:end w:w="120" w:type="dxa"/>
            </w:tcMar>
          </w:tcPr>
          <w:p>
            <w:pPr>
              <w:spacing w:after="40"/>
            </w:pPr>
            <w:r>
              <w:rPr>
                <w:b/>
                <w:color w:val="FFFFFF"/>
              </w:rPr>
              <w:t>Compétences / objectifs</w:t>
            </w:r>
          </w:p>
        </w:tc>
        <w:tc>
          <w:tcPr>
            <w:tcW w:type="dxa" w:w="2484"/>
            <w:shd w:fill="1F4E79"/>
            <w:tcMar>
              <w:top w:w="100" w:type="dxa"/>
              <w:start w:w="120" w:type="dxa"/>
              <w:bottom w:w="100" w:type="dxa"/>
              <w:end w:w="120" w:type="dxa"/>
            </w:tcMar>
          </w:tcPr>
          <w:p>
            <w:pPr>
              <w:spacing w:after="40"/>
            </w:pPr>
            <w:r>
              <w:rPr>
                <w:b/>
                <w:color w:val="FFFFFF"/>
              </w:rPr>
              <w:t>Preuves à joindre</w:t>
            </w:r>
          </w:p>
        </w:tc>
      </w:tr>
      <w:tr>
        <w:tc>
          <w:tcPr>
            <w:tcW w:type="dxa" w:w="2484"/>
            <w:shd w:fill="F7FAFD"/>
            <w:tcMar>
              <w:top w:w="100" w:type="dxa"/>
              <w:start w:w="120" w:type="dxa"/>
              <w:bottom w:w="100" w:type="dxa"/>
              <w:end w:w="120" w:type="dxa"/>
            </w:tcMar>
          </w:tcPr>
          <w:p>
            <w:pPr>
              <w:spacing w:after="40"/>
            </w:pPr>
            <w:r>
              <w:t>Semaine 1</w:t>
            </w:r>
          </w:p>
        </w:tc>
        <w:tc>
          <w:tcPr>
            <w:tcW w:type="dxa" w:w="2484"/>
            <w:shd w:fill="F7FAFD"/>
            <w:tcMar>
              <w:top w:w="100" w:type="dxa"/>
              <w:start w:w="120" w:type="dxa"/>
              <w:bottom w:w="100" w:type="dxa"/>
              <w:end w:w="120" w:type="dxa"/>
            </w:tcMar>
          </w:tcPr>
          <w:p>
            <w:pPr>
              <w:spacing w:after="40"/>
            </w:pPr>
            <w:r>
              <w:t>Prise en main ; installation et préparation de postes ; docking stations ; premières opérations sur le parc.</w:t>
            </w:r>
          </w:p>
        </w:tc>
        <w:tc>
          <w:tcPr>
            <w:tcW w:type="dxa" w:w="2484"/>
            <w:shd w:fill="F7FAFD"/>
            <w:tcMar>
              <w:top w:w="100" w:type="dxa"/>
              <w:start w:w="120" w:type="dxa"/>
              <w:bottom w:w="100" w:type="dxa"/>
              <w:end w:w="120" w:type="dxa"/>
            </w:tcMar>
          </w:tcPr>
          <w:p>
            <w:pPr>
              <w:spacing w:after="40"/>
            </w:pPr>
            <w:r>
              <w:t>Support, administration système, diagnostic matériel, inventaire.</w:t>
            </w:r>
          </w:p>
        </w:tc>
        <w:tc>
          <w:tcPr>
            <w:tcW w:type="dxa" w:w="2484"/>
            <w:shd w:fill="F7FAFD"/>
            <w:tcMar>
              <w:top w:w="100" w:type="dxa"/>
              <w:start w:w="120" w:type="dxa"/>
              <w:bottom w:w="100" w:type="dxa"/>
              <w:end w:w="120" w:type="dxa"/>
            </w:tcMar>
          </w:tcPr>
          <w:p>
            <w:pPr>
              <w:spacing w:after="40"/>
            </w:pPr>
            <w:r>
              <w:t>Photos / captures / tickets / notes.</w:t>
            </w:r>
          </w:p>
        </w:tc>
      </w:tr>
      <w:tr>
        <w:tc>
          <w:tcPr>
            <w:tcW w:type="dxa" w:w="2484"/>
            <w:shd w:fill="F7FAFD"/>
            <w:tcMar>
              <w:top w:w="100" w:type="dxa"/>
              <w:start w:w="120" w:type="dxa"/>
              <w:bottom w:w="100" w:type="dxa"/>
              <w:end w:w="120" w:type="dxa"/>
            </w:tcMar>
          </w:tcPr>
          <w:p>
            <w:pPr>
              <w:spacing w:after="40"/>
            </w:pPr>
            <w:r>
              <w:t>Semaine 2</w:t>
            </w:r>
          </w:p>
        </w:tc>
        <w:tc>
          <w:tcPr>
            <w:tcW w:type="dxa" w:w="2484"/>
            <w:shd w:fill="F7FAFD"/>
            <w:tcMar>
              <w:top w:w="100" w:type="dxa"/>
              <w:start w:w="120" w:type="dxa"/>
              <w:bottom w:w="100" w:type="dxa"/>
              <w:end w:w="120" w:type="dxa"/>
            </w:tcMar>
          </w:tcPr>
          <w:p>
            <w:pPr>
              <w:spacing w:after="40"/>
            </w:pPr>
            <w:r>
              <w:t>LDAP / JumpCloud ; déploiement des postes des salles ; création d’utilisateurs ; documentation HDMI et identification.</w:t>
            </w:r>
          </w:p>
        </w:tc>
        <w:tc>
          <w:tcPr>
            <w:tcW w:type="dxa" w:w="2484"/>
            <w:shd w:fill="F7FAFD"/>
            <w:tcMar>
              <w:top w:w="100" w:type="dxa"/>
              <w:start w:w="120" w:type="dxa"/>
              <w:bottom w:w="100" w:type="dxa"/>
              <w:end w:w="120" w:type="dxa"/>
            </w:tcMar>
          </w:tcPr>
          <w:p>
            <w:pPr>
              <w:spacing w:after="40"/>
            </w:pPr>
            <w:r>
              <w:t>Administration des utilisateurs et appareils, déploiement, documentation.</w:t>
            </w:r>
          </w:p>
        </w:tc>
        <w:tc>
          <w:tcPr>
            <w:tcW w:type="dxa" w:w="2484"/>
            <w:shd w:fill="F7FAFD"/>
            <w:tcMar>
              <w:top w:w="100" w:type="dxa"/>
              <w:start w:w="120" w:type="dxa"/>
              <w:bottom w:w="100" w:type="dxa"/>
              <w:end w:w="120" w:type="dxa"/>
            </w:tcMar>
          </w:tcPr>
          <w:p>
            <w:pPr>
              <w:spacing w:after="40"/>
            </w:pPr>
            <w:r>
              <w:t>Captures JumpCloud masquées, inventaire, photos des équipements.</w:t>
            </w:r>
          </w:p>
        </w:tc>
      </w:tr>
      <w:tr>
        <w:tc>
          <w:tcPr>
            <w:tcW w:type="dxa" w:w="2484"/>
            <w:shd w:fill="F7FAFD"/>
            <w:tcMar>
              <w:top w:w="100" w:type="dxa"/>
              <w:start w:w="120" w:type="dxa"/>
              <w:bottom w:w="100" w:type="dxa"/>
              <w:end w:w="120" w:type="dxa"/>
            </w:tcMar>
          </w:tcPr>
          <w:p>
            <w:pPr>
              <w:spacing w:after="40"/>
            </w:pPr>
            <w:r>
              <w:t>Semaine 3</w:t>
            </w:r>
          </w:p>
        </w:tc>
        <w:tc>
          <w:tcPr>
            <w:tcW w:type="dxa" w:w="2484"/>
            <w:shd w:fill="F7FAFD"/>
            <w:tcMar>
              <w:top w:w="100" w:type="dxa"/>
              <w:start w:w="120" w:type="dxa"/>
              <w:bottom w:w="100" w:type="dxa"/>
              <w:end w:w="120" w:type="dxa"/>
            </w:tcMar>
          </w:tcPr>
          <w:p>
            <w:pPr>
              <w:spacing w:after="40"/>
            </w:pPr>
            <w:r>
              <w:t>Image système ; microphones ; Ethernet salle C ; certificats étudiants ; continuité réseau / étude Wi-Fi.</w:t>
            </w:r>
          </w:p>
        </w:tc>
        <w:tc>
          <w:tcPr>
            <w:tcW w:type="dxa" w:w="2484"/>
            <w:shd w:fill="F7FAFD"/>
            <w:tcMar>
              <w:top w:w="100" w:type="dxa"/>
              <w:start w:w="120" w:type="dxa"/>
              <w:bottom w:w="100" w:type="dxa"/>
              <w:end w:w="120" w:type="dxa"/>
            </w:tcMar>
          </w:tcPr>
          <w:p>
            <w:pPr>
              <w:spacing w:after="40"/>
            </w:pPr>
            <w:r>
              <w:t>Déploiement, réseau, maintenance, recherche et gestion de projet.</w:t>
            </w:r>
          </w:p>
        </w:tc>
        <w:tc>
          <w:tcPr>
            <w:tcW w:type="dxa" w:w="2484"/>
            <w:shd w:fill="F7FAFD"/>
            <w:tcMar>
              <w:top w:w="100" w:type="dxa"/>
              <w:start w:w="120" w:type="dxa"/>
              <w:bottom w:w="100" w:type="dxa"/>
              <w:end w:w="120" w:type="dxa"/>
            </w:tcMar>
          </w:tcPr>
          <w:p>
            <w:pPr>
              <w:spacing w:after="40"/>
            </w:pPr>
            <w:r>
              <w:t>Schéma réseau, photos, documentation technique, suivi ClickUp.</w:t>
            </w:r>
          </w:p>
        </w:tc>
      </w:tr>
    </w:tbl>
    <w:p>
      <w:pPr>
        <w:spacing w:after="20"/>
      </w:pPr>
    </w:p>
    <w:p>
      <w:pPr>
        <w:pStyle w:val="Heading1"/>
        <w:spacing w:before="240" w:after="160"/>
      </w:pPr>
      <w:r>
        <w:rPr>
          <w:color w:val="1F4E79"/>
        </w:rPr>
        <w:t>7. Compétences mobilisées — BTS SIO SISR</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9"/>
            <w:tcMar>
              <w:top w:w="100" w:type="dxa"/>
              <w:start w:w="120" w:type="dxa"/>
              <w:bottom w:w="100" w:type="dxa"/>
              <w:end w:w="120" w:type="dxa"/>
            </w:tcMar>
          </w:tcPr>
          <w:p>
            <w:pPr>
              <w:spacing w:after="40"/>
            </w:pPr>
            <w:r>
              <w:rPr>
                <w:b/>
                <w:color w:val="FFFFFF"/>
              </w:rPr>
              <w:t>Domaine</w:t>
            </w:r>
          </w:p>
        </w:tc>
        <w:tc>
          <w:tcPr>
            <w:tcW w:type="dxa" w:w="3312"/>
            <w:shd w:fill="1F4E79"/>
            <w:tcMar>
              <w:top w:w="100" w:type="dxa"/>
              <w:start w:w="120" w:type="dxa"/>
              <w:bottom w:w="100" w:type="dxa"/>
              <w:end w:w="120" w:type="dxa"/>
            </w:tcMar>
          </w:tcPr>
          <w:p>
            <w:pPr>
              <w:spacing w:after="40"/>
            </w:pPr>
            <w:r>
              <w:rPr>
                <w:b/>
                <w:color w:val="FFFFFF"/>
              </w:rPr>
              <w:t>Compétences mobilisées</w:t>
            </w:r>
          </w:p>
        </w:tc>
        <w:tc>
          <w:tcPr>
            <w:tcW w:type="dxa" w:w="3312"/>
            <w:shd w:fill="1F4E79"/>
            <w:tcMar>
              <w:top w:w="100" w:type="dxa"/>
              <w:start w:w="120" w:type="dxa"/>
              <w:bottom w:w="100" w:type="dxa"/>
              <w:end w:w="120" w:type="dxa"/>
            </w:tcMar>
          </w:tcPr>
          <w:p>
            <w:pPr>
              <w:spacing w:after="40"/>
            </w:pPr>
            <w:r>
              <w:rPr>
                <w:b/>
                <w:color w:val="FFFFFF"/>
              </w:rPr>
              <w:t>Exemples du stage</w:t>
            </w:r>
          </w:p>
        </w:tc>
      </w:tr>
      <w:tr>
        <w:tc>
          <w:tcPr>
            <w:tcW w:type="dxa" w:w="3312"/>
            <w:shd w:fill="F7FAFD"/>
            <w:tcMar>
              <w:top w:w="100" w:type="dxa"/>
              <w:start w:w="120" w:type="dxa"/>
              <w:bottom w:w="100" w:type="dxa"/>
              <w:end w:w="120" w:type="dxa"/>
            </w:tcMar>
          </w:tcPr>
          <w:p>
            <w:pPr>
              <w:spacing w:after="40"/>
            </w:pPr>
            <w:r>
              <w:t>Administration des systèmes</w:t>
            </w:r>
          </w:p>
        </w:tc>
        <w:tc>
          <w:tcPr>
            <w:tcW w:type="dxa" w:w="3312"/>
            <w:shd w:fill="F7FAFD"/>
            <w:tcMar>
              <w:top w:w="100" w:type="dxa"/>
              <w:start w:w="120" w:type="dxa"/>
              <w:bottom w:w="100" w:type="dxa"/>
              <w:end w:w="120" w:type="dxa"/>
            </w:tcMar>
          </w:tcPr>
          <w:p>
            <w:pPr>
              <w:spacing w:after="40"/>
            </w:pPr>
            <w:r>
              <w:t>Installer, configurer et maintenir des postes.</w:t>
            </w:r>
          </w:p>
        </w:tc>
        <w:tc>
          <w:tcPr>
            <w:tcW w:type="dxa" w:w="3312"/>
            <w:shd w:fill="F7FAFD"/>
            <w:tcMar>
              <w:top w:w="100" w:type="dxa"/>
              <w:start w:w="120" w:type="dxa"/>
              <w:bottom w:w="100" w:type="dxa"/>
              <w:end w:w="120" w:type="dxa"/>
            </w:tcMar>
          </w:tcPr>
          <w:p>
            <w:pPr>
              <w:spacing w:after="40"/>
            </w:pPr>
            <w:r>
              <w:t>Windows, pilotes, mises à jour, image système.</w:t>
            </w:r>
          </w:p>
        </w:tc>
      </w:tr>
      <w:tr>
        <w:tc>
          <w:tcPr>
            <w:tcW w:type="dxa" w:w="3312"/>
            <w:shd w:fill="F7FAFD"/>
            <w:tcMar>
              <w:top w:w="100" w:type="dxa"/>
              <w:start w:w="120" w:type="dxa"/>
              <w:bottom w:w="100" w:type="dxa"/>
              <w:end w:w="120" w:type="dxa"/>
            </w:tcMar>
          </w:tcPr>
          <w:p>
            <w:pPr>
              <w:spacing w:after="40"/>
            </w:pPr>
            <w:r>
              <w:t>Administration des utilisateurs</w:t>
            </w:r>
          </w:p>
        </w:tc>
        <w:tc>
          <w:tcPr>
            <w:tcW w:type="dxa" w:w="3312"/>
            <w:shd w:fill="F7FAFD"/>
            <w:tcMar>
              <w:top w:w="100" w:type="dxa"/>
              <w:start w:w="120" w:type="dxa"/>
              <w:bottom w:w="100" w:type="dxa"/>
              <w:end w:w="120" w:type="dxa"/>
            </w:tcMar>
          </w:tcPr>
          <w:p>
            <w:pPr>
              <w:spacing w:after="40"/>
            </w:pPr>
            <w:r>
              <w:t>Gérer des comptes et des appareils.</w:t>
            </w:r>
          </w:p>
        </w:tc>
        <w:tc>
          <w:tcPr>
            <w:tcW w:type="dxa" w:w="3312"/>
            <w:shd w:fill="F7FAFD"/>
            <w:tcMar>
              <w:top w:w="100" w:type="dxa"/>
              <w:start w:w="120" w:type="dxa"/>
              <w:bottom w:w="100" w:type="dxa"/>
              <w:end w:w="120" w:type="dxa"/>
            </w:tcMar>
          </w:tcPr>
          <w:p>
            <w:pPr>
              <w:spacing w:after="40"/>
            </w:pPr>
            <w:r>
              <w:t>JumpCloud, utilisateurs, groupes et rattachement des postes.</w:t>
            </w:r>
          </w:p>
        </w:tc>
      </w:tr>
      <w:tr>
        <w:tc>
          <w:tcPr>
            <w:tcW w:type="dxa" w:w="3312"/>
            <w:shd w:fill="F7FAFD"/>
            <w:tcMar>
              <w:top w:w="100" w:type="dxa"/>
              <w:start w:w="120" w:type="dxa"/>
              <w:bottom w:w="100" w:type="dxa"/>
              <w:end w:w="120" w:type="dxa"/>
            </w:tcMar>
          </w:tcPr>
          <w:p>
            <w:pPr>
              <w:spacing w:after="40"/>
            </w:pPr>
            <w:r>
              <w:t>Réseaux</w:t>
            </w:r>
          </w:p>
        </w:tc>
        <w:tc>
          <w:tcPr>
            <w:tcW w:type="dxa" w:w="3312"/>
            <w:shd w:fill="F7FAFD"/>
            <w:tcMar>
              <w:top w:w="100" w:type="dxa"/>
              <w:start w:w="120" w:type="dxa"/>
              <w:bottom w:w="100" w:type="dxa"/>
              <w:end w:w="120" w:type="dxa"/>
            </w:tcMar>
          </w:tcPr>
          <w:p>
            <w:pPr>
              <w:spacing w:after="40"/>
            </w:pPr>
            <w:r>
              <w:t>Installer, vérifier et faire évoluer une infrastructure réseau.</w:t>
            </w:r>
          </w:p>
        </w:tc>
        <w:tc>
          <w:tcPr>
            <w:tcW w:type="dxa" w:w="3312"/>
            <w:shd w:fill="F7FAFD"/>
            <w:tcMar>
              <w:top w:w="100" w:type="dxa"/>
              <w:start w:w="120" w:type="dxa"/>
              <w:bottom w:w="100" w:type="dxa"/>
              <w:end w:w="120" w:type="dxa"/>
            </w:tcMar>
          </w:tcPr>
          <w:p>
            <w:pPr>
              <w:spacing w:after="40"/>
            </w:pPr>
            <w:r>
              <w:t>Ethernet, salle C, ER605, Link Backup, continuité Internet.</w:t>
            </w:r>
          </w:p>
        </w:tc>
      </w:tr>
      <w:tr>
        <w:tc>
          <w:tcPr>
            <w:tcW w:type="dxa" w:w="3312"/>
            <w:shd w:fill="F7FAFD"/>
            <w:tcMar>
              <w:top w:w="100" w:type="dxa"/>
              <w:start w:w="120" w:type="dxa"/>
              <w:bottom w:w="100" w:type="dxa"/>
              <w:end w:w="120" w:type="dxa"/>
            </w:tcMar>
          </w:tcPr>
          <w:p>
            <w:pPr>
              <w:spacing w:after="40"/>
            </w:pPr>
            <w:r>
              <w:t>Gestion du patrimoine informatique</w:t>
            </w:r>
          </w:p>
        </w:tc>
        <w:tc>
          <w:tcPr>
            <w:tcW w:type="dxa" w:w="3312"/>
            <w:shd w:fill="F7FAFD"/>
            <w:tcMar>
              <w:top w:w="100" w:type="dxa"/>
              <w:start w:w="120" w:type="dxa"/>
              <w:bottom w:w="100" w:type="dxa"/>
              <w:end w:w="120" w:type="dxa"/>
            </w:tcMar>
          </w:tcPr>
          <w:p>
            <w:pPr>
              <w:spacing w:after="40"/>
            </w:pPr>
            <w:r>
              <w:t>Recenser et identifier les ressources.</w:t>
            </w:r>
          </w:p>
        </w:tc>
        <w:tc>
          <w:tcPr>
            <w:tcW w:type="dxa" w:w="3312"/>
            <w:shd w:fill="F7FAFD"/>
            <w:tcMar>
              <w:top w:w="100" w:type="dxa"/>
              <w:start w:w="120" w:type="dxa"/>
              <w:bottom w:w="100" w:type="dxa"/>
              <w:end w:w="120" w:type="dxa"/>
            </w:tcMar>
          </w:tcPr>
          <w:p>
            <w:pPr>
              <w:spacing w:after="40"/>
            </w:pPr>
            <w:r>
              <w:t>Docking stations, microphones, ordinateurs, téléviseurs.</w:t>
            </w:r>
          </w:p>
        </w:tc>
      </w:tr>
      <w:tr>
        <w:tc>
          <w:tcPr>
            <w:tcW w:type="dxa" w:w="3312"/>
            <w:shd w:fill="F7FAFD"/>
            <w:tcMar>
              <w:top w:w="100" w:type="dxa"/>
              <w:start w:w="120" w:type="dxa"/>
              <w:bottom w:w="100" w:type="dxa"/>
              <w:end w:w="120" w:type="dxa"/>
            </w:tcMar>
          </w:tcPr>
          <w:p>
            <w:pPr>
              <w:spacing w:after="40"/>
            </w:pPr>
            <w:r>
              <w:t>Support et résolution d’incidents</w:t>
            </w:r>
          </w:p>
        </w:tc>
        <w:tc>
          <w:tcPr>
            <w:tcW w:type="dxa" w:w="3312"/>
            <w:shd w:fill="F7FAFD"/>
            <w:tcMar>
              <w:top w:w="100" w:type="dxa"/>
              <w:start w:w="120" w:type="dxa"/>
              <w:bottom w:w="100" w:type="dxa"/>
              <w:end w:w="120" w:type="dxa"/>
            </w:tcMar>
          </w:tcPr>
          <w:p>
            <w:pPr>
              <w:spacing w:after="40"/>
            </w:pPr>
            <w:r>
              <w:t>Diagnostiquer, tester et corriger.</w:t>
            </w:r>
          </w:p>
        </w:tc>
        <w:tc>
          <w:tcPr>
            <w:tcW w:type="dxa" w:w="3312"/>
            <w:shd w:fill="F7FAFD"/>
            <w:tcMar>
              <w:top w:w="100" w:type="dxa"/>
              <w:start w:w="120" w:type="dxa"/>
              <w:bottom w:w="100" w:type="dxa"/>
              <w:end w:w="120" w:type="dxa"/>
            </w:tcMar>
          </w:tcPr>
          <w:p>
            <w:pPr>
              <w:spacing w:after="40"/>
            </w:pPr>
            <w:r>
              <w:t>Dépannage des stations d’accueil et microphones, vérifications après intervention.</w:t>
            </w:r>
          </w:p>
        </w:tc>
      </w:tr>
      <w:tr>
        <w:tc>
          <w:tcPr>
            <w:tcW w:type="dxa" w:w="3312"/>
            <w:shd w:fill="F7FAFD"/>
            <w:tcMar>
              <w:top w:w="100" w:type="dxa"/>
              <w:start w:w="120" w:type="dxa"/>
              <w:bottom w:w="100" w:type="dxa"/>
              <w:end w:w="120" w:type="dxa"/>
            </w:tcMar>
          </w:tcPr>
          <w:p>
            <w:pPr>
              <w:spacing w:after="40"/>
            </w:pPr>
            <w:r>
              <w:t>Documentation</w:t>
            </w:r>
          </w:p>
        </w:tc>
        <w:tc>
          <w:tcPr>
            <w:tcW w:type="dxa" w:w="3312"/>
            <w:shd w:fill="F7FAFD"/>
            <w:tcMar>
              <w:top w:w="100" w:type="dxa"/>
              <w:start w:w="120" w:type="dxa"/>
              <w:bottom w:w="100" w:type="dxa"/>
              <w:end w:w="120" w:type="dxa"/>
            </w:tcMar>
          </w:tcPr>
          <w:p>
            <w:pPr>
              <w:spacing w:after="40"/>
            </w:pPr>
            <w:r>
              <w:t>Formaliser les informations utiles à l’exploitation.</w:t>
            </w:r>
          </w:p>
        </w:tc>
        <w:tc>
          <w:tcPr>
            <w:tcW w:type="dxa" w:w="3312"/>
            <w:shd w:fill="F7FAFD"/>
            <w:tcMar>
              <w:top w:w="100" w:type="dxa"/>
              <w:start w:w="120" w:type="dxa"/>
              <w:bottom w:w="100" w:type="dxa"/>
              <w:end w:w="120" w:type="dxa"/>
            </w:tcMar>
          </w:tcPr>
          <w:p>
            <w:pPr>
              <w:spacing w:after="40"/>
            </w:pPr>
            <w:r>
              <w:t>Nexus CRM, documentation HDMI, inventaires.</w:t>
            </w:r>
          </w:p>
        </w:tc>
      </w:tr>
      <w:tr>
        <w:tc>
          <w:tcPr>
            <w:tcW w:type="dxa" w:w="3312"/>
            <w:shd w:fill="F7FAFD"/>
            <w:tcMar>
              <w:top w:w="100" w:type="dxa"/>
              <w:start w:w="120" w:type="dxa"/>
              <w:bottom w:w="100" w:type="dxa"/>
              <w:end w:w="120" w:type="dxa"/>
            </w:tcMar>
          </w:tcPr>
          <w:p>
            <w:pPr>
              <w:spacing w:after="40"/>
            </w:pPr>
            <w:r>
              <w:t>Veille / étude</w:t>
            </w:r>
          </w:p>
        </w:tc>
        <w:tc>
          <w:tcPr>
            <w:tcW w:type="dxa" w:w="3312"/>
            <w:shd w:fill="F7FAFD"/>
            <w:tcMar>
              <w:top w:w="100" w:type="dxa"/>
              <w:start w:w="120" w:type="dxa"/>
              <w:bottom w:w="100" w:type="dxa"/>
              <w:end w:w="120" w:type="dxa"/>
            </w:tcMar>
          </w:tcPr>
          <w:p>
            <w:pPr>
              <w:spacing w:after="40"/>
            </w:pPr>
            <w:r>
              <w:t>Rechercher et comparer des solutions.</w:t>
            </w:r>
          </w:p>
        </w:tc>
        <w:tc>
          <w:tcPr>
            <w:tcW w:type="dxa" w:w="3312"/>
            <w:shd w:fill="F7FAFD"/>
            <w:tcMar>
              <w:top w:w="100" w:type="dxa"/>
              <w:start w:w="120" w:type="dxa"/>
              <w:bottom w:w="100" w:type="dxa"/>
              <w:end w:w="120" w:type="dxa"/>
            </w:tcMar>
          </w:tcPr>
          <w:p>
            <w:pPr>
              <w:spacing w:after="40"/>
            </w:pPr>
            <w:r>
              <w:t>Alternatives à JumpCloud, étude de continuité réseau.</w:t>
            </w:r>
          </w:p>
        </w:tc>
      </w:tr>
    </w:tbl>
    <w:p>
      <w:pPr>
        <w:pStyle w:val="Heading1"/>
        <w:spacing w:before="240" w:after="160"/>
      </w:pPr>
      <w:r>
        <w:rPr>
          <w:color w:val="1F4E79"/>
        </w:rPr>
        <w:t>8. Bilan personnel et professionnel</w:t>
      </w:r>
    </w:p>
    <w:p>
      <w:r>
        <w:t>Ce stage m’a permis de passer de connaissances principalement étudiées en formation à des situations concrètes dans un environnement professionnel. J’ai notamment pu travailler sur la préparation de postes, l’administration des utilisateurs, la gestion du matériel et des réseaux, ainsi que sur la documentation.</w:t>
      </w:r>
    </w:p>
    <w:p>
      <w:r>
        <w:t>Les interventions m’ont également appris qu’une opération informatique ne se limite pas à effectuer une modification : il faut préparer l’intervention, respecter les contraintes, tester le résultat et laisser une trace exploitable. Cette méthode est particulièrement importante lorsqu’un parc comprend plusieurs postes et plusieurs utilisateurs.</w:t>
      </w:r>
    </w:p>
    <w:p>
      <w:r>
        <w:t>L’expérience Erasmus+ à Barcelone a aussi renforcé mon autonomie, ma capacité d’adaptation et mon aisance dans un contexte professionnel différent de celui rencontré en formation.</w:t>
      </w:r>
    </w:p>
    <w:p>
      <w:pPr>
        <w:pStyle w:val="Heading1"/>
        <w:spacing w:before="240" w:after="160"/>
      </w:pPr>
      <w:r>
        <w:rPr>
          <w:color w:val="1F4E79"/>
        </w:rPr>
        <w:t>9. Conclusion</w:t>
      </w:r>
    </w:p>
    <w:p>
      <w:r>
        <w:t>Pour conclure, ce stage à Nexus Coworking a constitué une expérience concrète et complémentaire à ma formation en BTS SIO SISR. Les différentes réalisations m’ont permis d’aborder plusieurs aspects du métier : administration système, gestion des utilisateurs, réseaux, maintenance, inventaire, documentation et recherche de solutions.</w:t>
      </w:r>
    </w:p>
    <w:p>
      <w:r>
        <w:t>Le déploiement des postes et l’administration avec JumpCloud m’ont permis de mieux comprendre la gestion centralisée d’un parc. Les travaux sur le matériel et la documentation m’ont montré l’importance de l’identification et du suivi des équipements. Enfin, le travail autour du TP-Link Omada ER605 et du Link Backup m’a permis d’aborder concrètement la problématique de continuité de service réseau.</w:t>
      </w:r>
    </w:p>
    <w:tbl>
      <w:tblPr>
        <w:tblStyle w:val="TableGrid"/>
        <w:tblW w:type="auto" w:w="0"/>
        <w:jc w:val="center"/>
        <w:tblLayout w:type="autofit"/>
        <w:tblLook w:firstColumn="1" w:firstRow="1" w:lastColumn="0" w:lastRow="0" w:noHBand="0" w:noVBand="1" w:val="04A0"/>
      </w:tblPr>
      <w:tblGrid>
        <w:gridCol w:w="9936"/>
      </w:tblGrid>
      <w:tr>
        <w:tc>
          <w:tcPr>
            <w:tcW w:type="dxa" w:w="9936"/>
            <w:shd w:fill="EAF4EA"/>
            <w:tcMar>
              <w:top w:w="150" w:type="dxa"/>
              <w:start w:w="180" w:type="dxa"/>
              <w:bottom w:w="150" w:type="dxa"/>
              <w:end w:w="180" w:type="dxa"/>
            </w:tcMar>
          </w:tcPr>
          <w:p>
            <w:pPr>
              <w:spacing w:after="40"/>
            </w:pPr>
            <w:r>
              <w:rPr>
                <w:b/>
                <w:color w:val="1F4E79"/>
                <w:sz w:val="22"/>
              </w:rPr>
              <w:t>🚀 Suite de mon parcours</w:t>
            </w:r>
          </w:p>
          <w:p>
            <w:pPr>
              <w:spacing w:after="40"/>
            </w:pPr>
            <w:r>
              <w:rPr>
                <w:sz w:val="21"/>
              </w:rPr>
              <w:t>Ces acquis constituent une base pour poursuivre ma deuxième année de BTS SIO SISR et approfondir mes compétences en systèmes, réseaux et cybersécurité.</w:t>
            </w:r>
          </w:p>
        </w:tc>
      </w:tr>
    </w:tbl>
    <w:p>
      <w:pPr>
        <w:spacing w:after="20"/>
      </w:pPr>
    </w:p>
    <w:p>
      <w:pPr>
        <w:pStyle w:val="Heading1"/>
        <w:spacing w:before="240" w:after="160"/>
      </w:pPr>
      <w:r>
        <w:rPr>
          <w:color w:val="1F4E79"/>
        </w:rPr>
        <w:t>10. Annexes</w:t>
      </w:r>
    </w:p>
    <w:p>
      <w:pPr>
        <w:pStyle w:val="ListBullet"/>
        <w:spacing w:after="60"/>
      </w:pPr>
      <w:r>
        <w:t>Annexe 2 — Présentation ou organigramme de Nexus Coworking fourni par l’entreprise.</w:t>
      </w:r>
    </w:p>
    <w:p>
      <w:pPr>
        <w:pStyle w:val="ListBullet"/>
        <w:spacing w:after="60"/>
      </w:pPr>
      <w:r>
        <w:t>Annexe 3 — Schéma simplifié de l’architecture réseau.</w:t>
      </w:r>
    </w:p>
    <w:p>
      <w:pPr>
        <w:pStyle w:val="ListBullet"/>
        <w:spacing w:after="60"/>
      </w:pPr>
      <w:r>
        <w:t>Annexe 6 — Documentation du TP-Link Omada ER605 et du Link Backup.</w:t>
      </w:r>
    </w:p>
    <w:p>
      <w:pPr>
        <w:pStyle w:val="ListBullet"/>
        <w:spacing w:after="60"/>
      </w:pPr>
      <w:r>
        <w:t>Annexe 7 — Documentation des connexions HDMI et des identifiants TV / ordinateurs.</w:t>
      </w:r>
    </w:p>
    <w:p>
      <w:pPr>
        <w:pStyle w:val="ListBullet"/>
        <w:spacing w:after="60"/>
      </w:pPr>
      <w:r>
        <w:t>Annexe 8 — Extraits d’inventaire.</w:t>
      </w:r>
    </w:p>
    <w:p>
      <w:pPr>
        <w:pStyle w:val="ListBullet"/>
        <w:spacing w:after="60"/>
      </w:pPr>
      <w:r>
        <w:t>Annexe 9 — Rapports hebdomadaires et/ou captures ClickUp.</w:t>
      </w:r>
    </w:p>
    <w:p>
      <w:pPr>
        <w:pStyle w:val="ListBullet"/>
        <w:spacing w:after="60"/>
      </w:pPr>
      <w:r>
        <w:t>Annexe 10 — Certificats ou documents produits pendant le stage, uniquement si leur diffusion est autorisée.</w:t>
      </w:r>
    </w:p>
    <w:p>
      <w:pPr>
        <w:spacing w:after="20"/>
      </w:pP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Rapport de stage — BTS SIO SISR • Nexus Coworking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