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C9A6" w14:textId="1301BEED" w:rsidR="0004576D" w:rsidRDefault="0004576D" w:rsidP="00E22986">
      <w:r>
        <w:t xml:space="preserve">This project examines the </w:t>
      </w:r>
      <w:r w:rsidR="00E84205">
        <w:t xml:space="preserve">effect of intellectual property on </w:t>
      </w:r>
      <w:r w:rsidR="00A25B15">
        <w:t>general-purpose technologies (GPTs). This project involves collecting and cleaning large sample data on patents and performing econometric analysis.</w:t>
      </w:r>
      <w:r w:rsidR="00E22986" w:rsidRPr="00E22986">
        <w:t xml:space="preserve"> </w:t>
      </w:r>
      <w:r w:rsidR="00E22986">
        <w:t xml:space="preserve">Following the methods used by </w:t>
      </w:r>
      <w:proofErr w:type="spellStart"/>
      <w:r w:rsidR="00E22986">
        <w:t>Sampat</w:t>
      </w:r>
      <w:proofErr w:type="spellEnd"/>
      <w:r w:rsidR="00E22986">
        <w:t xml:space="preserve"> and Williams (2019) and </w:t>
      </w:r>
      <w:proofErr w:type="spellStart"/>
      <w:r w:rsidR="00E22986" w:rsidRPr="00E22986">
        <w:t>Farre</w:t>
      </w:r>
      <w:proofErr w:type="spellEnd"/>
      <w:r w:rsidR="00E22986" w:rsidRPr="00E22986">
        <w:t xml:space="preserve">-Mensa, Hegde, &amp; </w:t>
      </w:r>
      <w:proofErr w:type="spellStart"/>
      <w:r w:rsidR="00E22986" w:rsidRPr="00E22986">
        <w:t>Ljungqvist</w:t>
      </w:r>
      <w:proofErr w:type="spellEnd"/>
      <w:r w:rsidR="00E22986" w:rsidRPr="00E22986">
        <w:t xml:space="preserve"> </w:t>
      </w:r>
      <w:r w:rsidR="00E22986">
        <w:t>(</w:t>
      </w:r>
      <w:r w:rsidR="00E22986" w:rsidRPr="00E22986">
        <w:t>2020</w:t>
      </w:r>
      <w:r w:rsidR="00E22986">
        <w:t>), we will use patent examiner leniency as an instrumental variable to separate the benefit of having granted a patent from the value of the underlying invention. We</w:t>
      </w:r>
      <w:r w:rsidR="00E22986">
        <w:t xml:space="preserve"> aim to identify the effect of having granted a GPT-related patent on a firm’s performance and follow-on innovation.</w:t>
      </w:r>
    </w:p>
    <w:sectPr w:rsidR="0004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DD"/>
    <w:rsid w:val="0004576D"/>
    <w:rsid w:val="001D48B2"/>
    <w:rsid w:val="002C39DD"/>
    <w:rsid w:val="008032E8"/>
    <w:rsid w:val="00A25B15"/>
    <w:rsid w:val="00C973EA"/>
    <w:rsid w:val="00E22986"/>
    <w:rsid w:val="00E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A6BE7"/>
  <w15:chartTrackingRefBased/>
  <w15:docId w15:val="{6C21C92F-822A-834E-9D13-D91EB2C3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Kyuhun Lee</dc:creator>
  <cp:keywords/>
  <dc:description/>
  <cp:lastModifiedBy>Kyuhun Lee</cp:lastModifiedBy>
  <cp:revision>2</cp:revision>
  <dcterms:created xsi:type="dcterms:W3CDTF">2023-09-28T14:38:00Z</dcterms:created>
  <dcterms:modified xsi:type="dcterms:W3CDTF">2023-10-01T21:12:00Z</dcterms:modified>
</cp:coreProperties>
</file>