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Domain-Bridge Transfer Learning for Small-Data DPF Defect Detection: A Two-Stage Framework with YOLO11</w:t>
      </w:r>
    </w:p>
    <w:p>
      <w:pPr>
        <w:jc w:val="center"/>
      </w:pPr>
      <w:r>
        <w:rPr>
          <w:rFonts w:ascii="Times New Roman" w:hAnsi="Times New Roman"/>
          <w:sz w:val="22"/>
        </w:rPr>
        <w:t>Gyu-Young Lee</w:t>
      </w:r>
    </w:p>
    <w:p>
      <w:pPr>
        <w:jc w:val="center"/>
      </w:pPr>
      <w:r>
        <w:rPr>
          <w:rFonts w:ascii="Times New Roman" w:hAnsi="Times New Roman"/>
          <w:i/>
          <w:sz w:val="18"/>
        </w:rPr>
        <w:t>Department of Automotive Engineering, Kookmin University, Seoul, Republic of Korea</w:t>
        <w:br/>
        <w:t>Email: gylee@kookmin.ac.kr</w:t>
      </w:r>
    </w:p>
    <w:p>
      <w:pPr>
        <w:jc w:val="both"/>
      </w:pPr>
      <w:r>
        <w:rPr>
          <w:rFonts w:ascii="Times New Roman" w:hAnsi="Times New Roman"/>
          <w:b/>
          <w:i/>
          <w:sz w:val="18"/>
        </w:rPr>
        <w:t>Abstract—</w:t>
      </w:r>
      <w:r>
        <w:rPr>
          <w:rFonts w:ascii="Times New Roman" w:hAnsi="Times New Roman"/>
          <w:sz w:val="18"/>
        </w:rPr>
        <w:t>This paper presents a novel two-stage domain-bridge transfer learning framework for diesel particulate filter (DPF) defect detection in data-limited manufacturing environments. Unlike conventional direct transfer learning approaches, our method introduces an intermediate domain (X-ray imaging) between ImageNet pre-training and target DPF inspection, creating an effective feature space bridging pathway. Using only 339 training images, we achieved 91.7% mAP50 with YOLO11s—a remarkable 34.8 percentage points improvement over baseline training and 19.4 percentage points over single-stage transfer learning. Our experimental analysis reveals a critical 'late blooming' phenomenon in modern attention-based architectures, where 14.8 percentage points of performance gain occurs in epochs 51-100, challenging the common practice of early stopping at 50 epochs. YOLO11's C2PSA attention mechanism demonstrates 47.2% relative improvement over YOLOv8 under identical training protocols. The framework provides practical guidelines for manufacturing AI deployment: domain-similar intermediate pre-training, extended training schedules for attention-based models, and achievable 90%+ accuracy with minimal data collection costs. These findings have significant implications for small and medium-sized manufacturers seeking cost-effective quality inspection automation.</w:t>
      </w:r>
    </w:p>
    <w:p>
      <w:pPr>
        <w:jc w:val="both"/>
      </w:pPr>
      <w:r>
        <w:rPr>
          <w:rFonts w:ascii="Times New Roman" w:hAnsi="Times New Roman"/>
          <w:b/>
          <w:i/>
          <w:sz w:val="18"/>
        </w:rPr>
        <w:t>Index Terms—</w:t>
      </w:r>
      <w:r>
        <w:rPr>
          <w:rFonts w:ascii="Times New Roman" w:hAnsi="Times New Roman"/>
          <w:sz w:val="18"/>
        </w:rPr>
        <w:t>Deep learning, defect detection, diesel particulate filter, domain adaptation, manufacturing quality control, object detection, transfer learning, YOLO.</w:t>
      </w:r>
    </w:p>
    <w:p>
      <w:pPr>
        <w:jc w:val="center"/>
      </w:pPr>
      <w:r>
        <w:rPr>
          <w:rFonts w:ascii="Times New Roman" w:hAnsi="Times New Roman"/>
          <w:b/>
          <w:sz w:val="20"/>
        </w:rPr>
        <w:t>I. INTRODUCTION</w:t>
      </w:r>
    </w:p>
    <w:p>
      <w:pPr>
        <w:jc w:val="both"/>
      </w:pPr>
      <w:r>
        <w:rPr>
          <w:rFonts w:ascii="Times New Roman" w:hAnsi="Times New Roman"/>
          <w:sz w:val="20"/>
        </w:rPr>
        <w:t>THE manufacturing industry faces a persistent challenge in quality control: achieving reliable automated defect detection with limited training data. Traditional machine learning approaches require thousands of labeled samples to achieve acceptable performance, creating significant barriers for small and medium-sized manufacturers. This data scarcity problem is particularly acute in specialized component inspection, such as diesel particulate filter (DPF) quality control, where defect samples are inherently rare and expensive to collect.</w:t>
      </w:r>
    </w:p>
    <w:p>
      <w:pPr>
        <w:jc w:val="both"/>
      </w:pPr>
      <w:r>
        <w:rPr>
          <w:rFonts w:ascii="Times New Roman" w:hAnsi="Times New Roman"/>
          <w:sz w:val="20"/>
        </w:rPr>
        <w:t>DPFs are critical emission control components in diesel vehicles, and their quality directly impacts environmental compliance and vehicle performance. Current inspection methods rely heavily on manual visual examination by trained technicians, a process that is time-consuming, subjective, and prone to human error. The primary defect types—cracks and melting damage—require careful identification to prevent defective units from reaching end users.</w:t>
      </w:r>
    </w:p>
    <w:p>
      <w:pPr>
        <w:jc w:val="both"/>
      </w:pPr>
      <w:r>
        <w:rPr>
          <w:rFonts w:ascii="Times New Roman" w:hAnsi="Times New Roman"/>
          <w:sz w:val="20"/>
        </w:rPr>
        <w:t>Transfer learning has emerged as a promising solution to the data scarcity problem in computer vision applications. By leveraging pre-trained models from large-scale datasets like ImageNet, researchers have achieved significant improvements in various domains with limited data [1], [2]. However, the effectiveness of transfer learning is highly dependent on the similarity between source and target domains—a factor that has not been systematically explored for industrial inspection tasks.</w:t>
      </w:r>
    </w:p>
    <w:p>
      <w:pPr>
        <w:jc w:val="both"/>
      </w:pPr>
      <w:r>
        <w:rPr>
          <w:rFonts w:ascii="Times New Roman" w:hAnsi="Times New Roman"/>
          <w:sz w:val="20"/>
        </w:rPr>
        <w:t>In this paper, we propose a two-stage domain-bridge transfer learning framework that addresses these limitations. Rather than transferring directly from ImageNet to DPF inspection, we introduce an intermediate domain (X-ray defect detection) that shares structural similarities with both source and target domains. This bridging approach creates a more gradual feature space transition, enabling more effective knowledge transfer with minimal data.</w:t>
      </w:r>
    </w:p>
    <w:p>
      <w:pPr>
        <w:jc w:val="both"/>
      </w:pPr>
      <w:r>
        <w:rPr>
          <w:rFonts w:ascii="Times New Roman" w:hAnsi="Times New Roman"/>
          <w:sz w:val="20"/>
        </w:rPr>
        <w:t>Our main contributions are as follows:</w:t>
        <w:br/>
        <w:t>• A novel domain-bridge transfer learning framework achieving 91.7% mAP50 with only 339 training images, representing a 34.8 percentage points improvement over baseline and 19.4 percentage points over direct transfer learning.</w:t>
        <w:br/>
        <w:t>• Discovery and documentation of the 'late blooming' phenomenon in attention-based architectures, demonstrating that 14.8 percentage points of performance gain occurs after epoch 50, challenging conventional early stopping practices.</w:t>
        <w:br/>
        <w:t>• Comprehensive comparison between YOLO11 and YOLOv8 under identical protocols, showing 47.2% relative improvement with YOLO11's C2PSA attention mechanism.</w:t>
        <w:br/>
        <w:t>• Practical guidelines for manufacturing AI deployment in data-limited environments.</w:t>
      </w:r>
    </w:p>
    <w:p>
      <w:pPr>
        <w:jc w:val="center"/>
      </w:pPr>
      <w:r>
        <w:rPr>
          <w:rFonts w:ascii="Times New Roman" w:hAnsi="Times New Roman"/>
          <w:b/>
          <w:sz w:val="20"/>
        </w:rPr>
        <w:t>II. RELATED WORK</w:t>
      </w:r>
    </w:p>
    <w:p>
      <w:r>
        <w:rPr>
          <w:rFonts w:ascii="Times New Roman" w:hAnsi="Times New Roman"/>
          <w:i/>
          <w:sz w:val="20"/>
        </w:rPr>
        <w:t>A. Deep Learning in Manufacturing Inspection</w:t>
      </w:r>
    </w:p>
    <w:p>
      <w:pPr>
        <w:jc w:val="both"/>
      </w:pPr>
      <w:r>
        <w:rPr>
          <w:rFonts w:ascii="Times New Roman" w:hAnsi="Times New Roman"/>
          <w:sz w:val="20"/>
        </w:rPr>
        <w:t>Deep learning has revolutionized automated visual inspection across various manufacturing sectors. Convolutional neural networks (CNNs) have demonstrated remarkable success in defect detection tasks, often surpassing traditional machine vision approaches based on handcrafted features [3], [4]. Object detection architectures, particularly the YOLO family [5]–[8], have gained popularity due to their real-time inference capabilities and competitive accuracy.</w:t>
      </w:r>
    </w:p>
    <w:p>
      <w:pPr>
        <w:jc w:val="both"/>
      </w:pPr>
      <w:r>
        <w:rPr>
          <w:rFonts w:ascii="Times New Roman" w:hAnsi="Times New Roman"/>
          <w:sz w:val="20"/>
        </w:rPr>
        <w:t>Recent advances in YOLO architectures have introduced sophisticated attention mechanisms. YOLOv8 [7] employs the C2f module for efficient feature extraction, while YOLO11 [8] introduces the C2PSA (Cross Stage Partial with Spatial Attention) module, which incorporates three parallel attention pathways: spatial attention, channel attention, and context aggregation. This architectural evolution promises improved detection of subtle defects but requires careful evaluation under controlled conditions.</w:t>
      </w:r>
    </w:p>
    <w:p>
      <w:r>
        <w:rPr>
          <w:rFonts w:ascii="Times New Roman" w:hAnsi="Times New Roman"/>
          <w:i/>
          <w:sz w:val="20"/>
        </w:rPr>
        <w:t>B. Transfer Learning Strategies</w:t>
      </w:r>
    </w:p>
    <w:p>
      <w:pPr>
        <w:jc w:val="both"/>
      </w:pPr>
      <w:r>
        <w:rPr>
          <w:rFonts w:ascii="Times New Roman" w:hAnsi="Times New Roman"/>
          <w:sz w:val="20"/>
        </w:rPr>
        <w:t>Transfer learning has become the de facto approach for training deep learning models with limited data [9], [10]. The fundamental principle involves leveraging feature representations learned from large-scale datasets and adapting them to target tasks. Pan and Yang [9] established the theoretical foundations, while subsequent work [11], [12] explored the transferability of features across different layers and domains.</w:t>
      </w:r>
    </w:p>
    <w:p>
      <w:pPr>
        <w:jc w:val="both"/>
      </w:pPr>
      <w:r>
        <w:rPr>
          <w:rFonts w:ascii="Times New Roman" w:hAnsi="Times New Roman"/>
          <w:sz w:val="20"/>
        </w:rPr>
        <w:t>Domain similarity plays a crucial role in transfer effectiveness. Yosinski et al. [12] demonstrated that features in early CNN layers are largely general and transferable, while deeper layers become increasingly task-specific. For industrial inspection, this suggests that intermediate domain pre-training on visually similar tasks could enhance transfer effectiveness—a hypothesis we validate in this work.</w:t>
      </w:r>
    </w:p>
    <w:p>
      <w:r>
        <w:rPr>
          <w:rFonts w:ascii="Times New Roman" w:hAnsi="Times New Roman"/>
          <w:i/>
          <w:sz w:val="20"/>
        </w:rPr>
        <w:t>C. Data Augmentation and Small-Data Learning</w:t>
      </w:r>
    </w:p>
    <w:p>
      <w:pPr>
        <w:jc w:val="both"/>
      </w:pPr>
      <w:r>
        <w:rPr>
          <w:rFonts w:ascii="Times New Roman" w:hAnsi="Times New Roman"/>
          <w:sz w:val="20"/>
        </w:rPr>
        <w:t>Data augmentation techniques expand effective training set size through transformations [13]. For industrial inspection, relevant augmentations include geometric transformations (rotation, scaling, flipping), photometric variations (brightness, contrast), and advanced techniques like Mosaic augmentation [6], which combines multiple images into composite training samples. Few-shot and meta-learning approaches [14] offer alternative strategies for extreme data scarcity, though they typically require specialized architectures and training procedures.</w:t>
      </w:r>
    </w:p>
    <w:p>
      <w:pPr>
        <w:jc w:val="center"/>
      </w:pPr>
      <w:r>
        <w:rPr>
          <w:rFonts w:ascii="Times New Roman" w:hAnsi="Times New Roman"/>
          <w:b/>
          <w:sz w:val="20"/>
        </w:rPr>
        <w:t>III. PROPOSED METHOD</w:t>
      </w:r>
    </w:p>
    <w:p>
      <w:r>
        <w:rPr>
          <w:rFonts w:ascii="Times New Roman" w:hAnsi="Times New Roman"/>
          <w:i/>
          <w:sz w:val="20"/>
        </w:rPr>
        <w:t>A. Domain-Bridge Transfer Learning Framework</w:t>
      </w:r>
    </w:p>
    <w:p>
      <w:pPr>
        <w:jc w:val="both"/>
      </w:pPr>
      <w:r>
        <w:rPr>
          <w:rFonts w:ascii="Times New Roman" w:hAnsi="Times New Roman"/>
          <w:sz w:val="20"/>
        </w:rPr>
        <w:t>Our proposed framework consists of two sequential transfer stages, with an intermediate domain serving as a bridge between the general-purpose ImageNet features and the specialized DPF defect detection task.</w:t>
        <w:br/>
        <w:br/>
        <w:t>Stage 1 (Domain Bridge): We fine-tune the ImageNet pre-trained YOLO11s model on an X-ray defect detection dataset containing 310 images with crack and porosity annotations. X-ray imaging shares key characteristics with DPF inspection: grayscale imagery, internal structure visualization, similar defect morphology (linear cracks, irregular voids), and low contrast between defects and background. This intermediate training adapts the feature extractors from natural image patterns to industrial defect patterns.</w:t>
        <w:br/>
        <w:br/>
        <w:t>Stage 2 (Target Adaptation): The X-ray pre-trained model is further fine-tuned on the DPF dataset (339 images, 2 classes: Crack and Melting). This stage refines the learned defect features for the specific characteristics of DPF structural damage.</w:t>
      </w:r>
    </w:p>
    <w:p>
      <w:r>
        <w:rPr>
          <w:rFonts w:ascii="Times New Roman" w:hAnsi="Times New Roman"/>
          <w:i/>
          <w:sz w:val="20"/>
        </w:rPr>
        <w:t>B. YOLO11 Architecture Analysis</w:t>
      </w:r>
    </w:p>
    <w:p>
      <w:pPr>
        <w:jc w:val="both"/>
      </w:pPr>
      <w:r>
        <w:rPr>
          <w:rFonts w:ascii="Times New Roman" w:hAnsi="Times New Roman"/>
          <w:sz w:val="20"/>
        </w:rPr>
        <w:t>YOLO11s introduces the C2PSA (Cross Stage Partial with Spatial Attention) module, which represents a significant architectural advancement over YOLOv8's C2f module. The C2PSA architecture consists of three parallel processing pathways:</w:t>
        <w:br/>
        <w:br/>
        <w:t>1) Spatial Attention Path: Focuses on 'where' to look by generating spatial attention maps that highlight regions likely to contain defects. This is particularly effective for detecting fine cracks that occupy small spatial extents.</w:t>
        <w:br/>
        <w:br/>
        <w:t>2) Channel Attention Path: Determines 'what' features are most discriminative by learning channel-wise importance weights. This enables the model to emphasize features specific to crack versus melting defect patterns.</w:t>
        <w:br/>
        <w:br/>
        <w:t>3) Context Aggregation Path: Captures global context by pooling information across large receptive fields, helping distinguish genuine defects from regular filter structure patterns.</w:t>
        <w:br/>
        <w:br/>
        <w:t>The outputs from these three pathways are combined through a learnable fusion layer, allowing the model to adaptively weight the contribution of each attention mechanism based on the input characteristics.</w:t>
      </w:r>
    </w:p>
    <w:p>
      <w:r>
        <w:rPr>
          <w:rFonts w:ascii="Times New Roman" w:hAnsi="Times New Roman"/>
          <w:i/>
          <w:sz w:val="20"/>
        </w:rPr>
        <w:t>C. Training Configuration</w:t>
      </w:r>
    </w:p>
    <w:p>
      <w:pPr>
        <w:jc w:val="both"/>
      </w:pPr>
      <w:r>
        <w:rPr>
          <w:rFonts w:ascii="Times New Roman" w:hAnsi="Times New Roman"/>
          <w:sz w:val="20"/>
        </w:rPr>
        <w:t>All experiments use consistent hyperparameters to ensure fair comparison:</w:t>
        <w:br/>
        <w:br/>
        <w:t>• Optimizer: AdamW with weight decay 0.0005</w:t>
        <w:br/>
        <w:t>• Learning rate: Initial 0.01 with cosine annealing to 0.0001</w:t>
        <w:br/>
        <w:t>• Batch size: 16</w:t>
        <w:br/>
        <w:t>• Input resolution: 640×640 pixels</w:t>
        <w:br/>
        <w:t>• Data augmentation: Mosaic (probability 0.5), rotation (±15°), scale (0.5–1.5), horizontal/vertical flip</w:t>
        <w:br/>
        <w:t>• Training epochs: 50 for Stage 1, 100 for Stage 2</w:t>
        <w:br/>
        <w:t>• Random seed: 42 (fixed for reproducibility)</w:t>
        <w:br/>
        <w:br/>
        <w:t>The loss function combines three components: Complete IoU (CIoU) loss for bounding box regression, Binary Cross-Entropy (BCE) loss for classification, and Distribution Focal Loss (DFL) for boundary refinement. Loss weights are set to λ_box=7.5, λ_cls=0.5, λ_dfl=1.5.</w:t>
      </w:r>
    </w:p>
    <w:p>
      <w:pPr>
        <w:jc w:val="center"/>
      </w:pPr>
      <w:r>
        <w:rPr>
          <w:rFonts w:ascii="Times New Roman" w:hAnsi="Times New Roman"/>
          <w:b/>
          <w:sz w:val="20"/>
        </w:rPr>
        <w:t>IV. EXPERIMENTAL SETUP</w:t>
      </w:r>
    </w:p>
    <w:p>
      <w:r>
        <w:rPr>
          <w:rFonts w:ascii="Times New Roman" w:hAnsi="Times New Roman"/>
          <w:i/>
          <w:sz w:val="20"/>
        </w:rPr>
        <w:t>A. Datasets</w:t>
      </w:r>
    </w:p>
    <w:p>
      <w:pPr>
        <w:jc w:val="both"/>
      </w:pPr>
      <w:r>
        <w:rPr>
          <w:rFonts w:ascii="Times New Roman" w:hAnsi="Times New Roman"/>
          <w:sz w:val="20"/>
        </w:rPr>
        <w:t>1) DPF Defect Dataset: The primary dataset contains X-ray images of diesel particulate filters collected from an automotive component manufacturer. The dataset comprises 339 training images and 66 validation images, with two defect classes: Crack (linear structural damage) and Melting (thermal deformation). Annotations are provided in YOLO format with bounding box coordinates.</w:t>
        <w:br/>
        <w:br/>
        <w:t>2) X-ray Defect Dataset (Bridge Domain): We utilize a publicly available X-ray defect detection dataset from Roboflow Universe containing 310 images with annotations for cracks and porosity defects. This dataset serves as the intermediate domain for our two-stage transfer learning approach.</w:t>
      </w:r>
    </w:p>
    <w:p>
      <w:r>
        <w:rPr>
          <w:rFonts w:ascii="Times New Roman" w:hAnsi="Times New Roman"/>
          <w:i/>
          <w:sz w:val="20"/>
        </w:rPr>
        <w:t>B. Evaluation Metrics</w:t>
      </w:r>
    </w:p>
    <w:p>
      <w:pPr>
        <w:jc w:val="both"/>
      </w:pPr>
      <w:r>
        <w:rPr>
          <w:rFonts w:ascii="Times New Roman" w:hAnsi="Times New Roman"/>
          <w:sz w:val="20"/>
        </w:rPr>
        <w:t>We evaluate model performance using standard object detection metrics:</w:t>
        <w:br/>
        <w:br/>
        <w:t>• mAP50: Mean Average Precision at IoU threshold 0.5</w:t>
        <w:br/>
        <w:t>• mAP50-95: Mean AP averaged over IoU thresholds 0.5 to 0.95 (step 0.05)</w:t>
        <w:br/>
        <w:t>• Precision: True positives divided by all predicted positives</w:t>
        <w:br/>
        <w:t>• Recall: True positives divided by all actual positives</w:t>
        <w:br/>
        <w:t>• F1-Score: Harmonic mean of precision and recall</w:t>
        <w:br/>
        <w:br/>
        <w:t>mAP50 serves as the primary comparison metric, as it represents the standard evaluation protocol for object detection and aligns with typical industrial inspection requirements where moderate localization precision is acceptable.</w:t>
      </w:r>
    </w:p>
    <w:p>
      <w:r>
        <w:rPr>
          <w:rFonts w:ascii="Times New Roman" w:hAnsi="Times New Roman"/>
          <w:i/>
          <w:sz w:val="20"/>
        </w:rPr>
        <w:t>C. Experimental Protocol</w:t>
      </w:r>
    </w:p>
    <w:p>
      <w:pPr>
        <w:jc w:val="both"/>
      </w:pPr>
      <w:r>
        <w:rPr>
          <w:rFonts w:ascii="Times New Roman" w:hAnsi="Times New Roman"/>
          <w:sz w:val="20"/>
        </w:rPr>
        <w:t>To ensure reproducibility and fair comparison, we implement the following protocol:</w:t>
        <w:br/>
        <w:br/>
        <w:t>1) Random Seed Control: All random number generators (Python, NumPy, PyTorch) are seeded with value 42. CUDA deterministic mode is enabled.</w:t>
        <w:br/>
        <w:br/>
        <w:t>2) Identical Training Conditions: Both YOLO11s and YOLOv8s models undergo identical preprocessing, augmentation, and training schedules.</w:t>
        <w:br/>
        <w:br/>
        <w:t>3) Hardware Environment: All experiments are conducted on a system with AMD Ryzen 9 5900X CPU, 32GB RAM, and NVIDIA RTX 3080 GPU with CUDA 11.8.</w:t>
        <w:br/>
        <w:br/>
        <w:t>4) Validation Protocol: Model checkpoints are saved at every epoch, with 'best' model selected based on highest validation mAP50. Final evaluation uses the best checkpoint.</w:t>
      </w:r>
    </w:p>
    <w:p>
      <w:pPr>
        <w:jc w:val="center"/>
      </w:pPr>
      <w:r>
        <w:rPr>
          <w:rFonts w:ascii="Times New Roman" w:hAnsi="Times New Roman"/>
          <w:b/>
          <w:sz w:val="20"/>
        </w:rPr>
        <w:t>V. EXPERIMENTAL RESULTS</w:t>
      </w:r>
    </w:p>
    <w:p>
      <w:r>
        <w:rPr>
          <w:rFonts w:ascii="Times New Roman" w:hAnsi="Times New Roman"/>
          <w:i/>
          <w:sz w:val="20"/>
        </w:rPr>
        <w:t>A. Overall Performance Comparison</w:t>
      </w:r>
    </w:p>
    <w:p>
      <w:pPr>
        <w:jc w:val="both"/>
      </w:pPr>
      <w:r>
        <w:rPr>
          <w:rFonts w:ascii="Times New Roman" w:hAnsi="Times New Roman"/>
          <w:sz w:val="20"/>
        </w:rPr>
        <w:t>Table I presents the final performance comparison between YOLO11s and YOLOv8s after completing the two-stage domain-bridge transfer learning. YOLO11s achieves 91.7% mAP50, representing a substantial 29.4 percentage points absolute improvement over YOLOv8s (62.3%). This corresponds to a 47.2% relative performance gain while using 15.3% fewer parameters (9.4M vs 11.1M).</w:t>
      </w:r>
    </w:p>
    <w:p>
      <w:pPr>
        <w:jc w:val="center"/>
      </w:pPr>
      <w:r>
        <w:rPr>
          <w:rFonts w:ascii="Times New Roman" w:hAnsi="Times New Roman"/>
          <w:sz w:val="16"/>
        </w:rPr>
        <w:t>TABLE I</w:t>
      </w:r>
    </w:p>
    <w:p>
      <w:pPr>
        <w:jc w:val="center"/>
      </w:pPr>
      <w:r>
        <w:rPr>
          <w:rFonts w:ascii="Times New Roman" w:hAnsi="Times New Roman"/>
          <w:sz w:val="16"/>
        </w:rPr>
        <w:t>YOLO11 VS YOLOV8 FINAL PERFORMANCE COMPARISON</w:t>
      </w:r>
    </w:p>
    <w:tbl>
      <w:tblPr>
        <w:tblStyle w:val="TableGrid"/>
        <w:tblW w:type="auto" w:w="0"/>
        <w:tblLook w:firstColumn="1" w:firstRow="1" w:lastColumn="0" w:lastRow="0" w:noHBand="0" w:noVBand="1" w:val="04A0"/>
      </w:tblPr>
      <w:tblGrid>
        <w:gridCol w:w="1491"/>
        <w:gridCol w:w="1491"/>
        <w:gridCol w:w="1491"/>
        <w:gridCol w:w="1491"/>
        <w:gridCol w:w="1491"/>
        <w:gridCol w:w="1491"/>
        <w:gridCol w:w="1491"/>
      </w:tblGrid>
      <w:tr>
        <w:tc>
          <w:tcPr>
            <w:tcW w:type="dxa" w:w="1491"/>
          </w:tcPr>
          <w:p>
            <w:pPr>
              <w:jc w:val="center"/>
            </w:pPr>
            <w:r>
              <w:rPr>
                <w:b/>
                <w:sz w:val="16"/>
              </w:rPr>
              <w:t>Model</w:t>
            </w:r>
          </w:p>
        </w:tc>
        <w:tc>
          <w:tcPr>
            <w:tcW w:type="dxa" w:w="1491"/>
          </w:tcPr>
          <w:p>
            <w:pPr>
              <w:jc w:val="center"/>
            </w:pPr>
            <w:r>
              <w:rPr>
                <w:b/>
                <w:sz w:val="16"/>
              </w:rPr>
              <w:t>Params</w:t>
            </w:r>
          </w:p>
        </w:tc>
        <w:tc>
          <w:tcPr>
            <w:tcW w:type="dxa" w:w="1491"/>
          </w:tcPr>
          <w:p>
            <w:pPr>
              <w:jc w:val="center"/>
            </w:pPr>
            <w:r>
              <w:rPr>
                <w:b/>
                <w:sz w:val="16"/>
              </w:rPr>
              <w:t>mAP50</w:t>
            </w:r>
          </w:p>
        </w:tc>
        <w:tc>
          <w:tcPr>
            <w:tcW w:type="dxa" w:w="1491"/>
          </w:tcPr>
          <w:p>
            <w:pPr>
              <w:jc w:val="center"/>
            </w:pPr>
            <w:r>
              <w:rPr>
                <w:b/>
                <w:sz w:val="16"/>
              </w:rPr>
              <w:t>mAP50-95</w:t>
            </w:r>
          </w:p>
        </w:tc>
        <w:tc>
          <w:tcPr>
            <w:tcW w:type="dxa" w:w="1491"/>
          </w:tcPr>
          <w:p>
            <w:pPr>
              <w:jc w:val="center"/>
            </w:pPr>
            <w:r>
              <w:rPr>
                <w:b/>
                <w:sz w:val="16"/>
              </w:rPr>
              <w:t>Precision</w:t>
            </w:r>
          </w:p>
        </w:tc>
        <w:tc>
          <w:tcPr>
            <w:tcW w:type="dxa" w:w="1491"/>
          </w:tcPr>
          <w:p>
            <w:pPr>
              <w:jc w:val="center"/>
            </w:pPr>
            <w:r>
              <w:rPr>
                <w:b/>
                <w:sz w:val="16"/>
              </w:rPr>
              <w:t>Recall</w:t>
            </w:r>
          </w:p>
        </w:tc>
        <w:tc>
          <w:tcPr>
            <w:tcW w:type="dxa" w:w="1491"/>
          </w:tcPr>
          <w:p>
            <w:pPr>
              <w:jc w:val="center"/>
            </w:pPr>
            <w:r>
              <w:rPr>
                <w:b/>
                <w:sz w:val="16"/>
              </w:rPr>
              <w:t>F1</w:t>
            </w:r>
          </w:p>
        </w:tc>
      </w:tr>
      <w:tr>
        <w:tc>
          <w:tcPr>
            <w:tcW w:type="dxa" w:w="1491"/>
          </w:tcPr>
          <w:p>
            <w:pPr>
              <w:jc w:val="center"/>
            </w:pPr>
            <w:r>
              <w:rPr>
                <w:sz w:val="16"/>
              </w:rPr>
              <w:t>YOLOv8s</w:t>
            </w:r>
          </w:p>
        </w:tc>
        <w:tc>
          <w:tcPr>
            <w:tcW w:type="dxa" w:w="1491"/>
          </w:tcPr>
          <w:p>
            <w:pPr>
              <w:jc w:val="center"/>
            </w:pPr>
            <w:r>
              <w:rPr>
                <w:sz w:val="16"/>
              </w:rPr>
              <w:t>11.1M</w:t>
            </w:r>
          </w:p>
        </w:tc>
        <w:tc>
          <w:tcPr>
            <w:tcW w:type="dxa" w:w="1491"/>
          </w:tcPr>
          <w:p>
            <w:pPr>
              <w:jc w:val="center"/>
            </w:pPr>
            <w:r>
              <w:rPr>
                <w:sz w:val="16"/>
              </w:rPr>
              <w:t>62.3%</w:t>
            </w:r>
          </w:p>
        </w:tc>
        <w:tc>
          <w:tcPr>
            <w:tcW w:type="dxa" w:w="1491"/>
          </w:tcPr>
          <w:p>
            <w:pPr>
              <w:jc w:val="center"/>
            </w:pPr>
            <w:r>
              <w:rPr>
                <w:sz w:val="16"/>
              </w:rPr>
              <w:t>37.8%</w:t>
            </w:r>
          </w:p>
        </w:tc>
        <w:tc>
          <w:tcPr>
            <w:tcW w:type="dxa" w:w="1491"/>
          </w:tcPr>
          <w:p>
            <w:pPr>
              <w:jc w:val="center"/>
            </w:pPr>
            <w:r>
              <w:rPr>
                <w:sz w:val="16"/>
              </w:rPr>
              <w:t>71.8%</w:t>
            </w:r>
          </w:p>
        </w:tc>
        <w:tc>
          <w:tcPr>
            <w:tcW w:type="dxa" w:w="1491"/>
          </w:tcPr>
          <w:p>
            <w:pPr>
              <w:jc w:val="center"/>
            </w:pPr>
            <w:r>
              <w:rPr>
                <w:sz w:val="16"/>
              </w:rPr>
              <w:t>68.5%</w:t>
            </w:r>
          </w:p>
        </w:tc>
        <w:tc>
          <w:tcPr>
            <w:tcW w:type="dxa" w:w="1491"/>
          </w:tcPr>
          <w:p>
            <w:pPr>
              <w:jc w:val="center"/>
            </w:pPr>
            <w:r>
              <w:rPr>
                <w:sz w:val="16"/>
              </w:rPr>
              <w:t>0.70</w:t>
            </w:r>
          </w:p>
        </w:tc>
      </w:tr>
      <w:tr>
        <w:tc>
          <w:tcPr>
            <w:tcW w:type="dxa" w:w="1491"/>
          </w:tcPr>
          <w:p>
            <w:pPr>
              <w:jc w:val="center"/>
            </w:pPr>
            <w:r>
              <w:rPr>
                <w:sz w:val="16"/>
              </w:rPr>
              <w:t>YOLO11s</w:t>
            </w:r>
          </w:p>
        </w:tc>
        <w:tc>
          <w:tcPr>
            <w:tcW w:type="dxa" w:w="1491"/>
          </w:tcPr>
          <w:p>
            <w:pPr>
              <w:jc w:val="center"/>
            </w:pPr>
            <w:r>
              <w:rPr>
                <w:sz w:val="16"/>
              </w:rPr>
              <w:t>9.4M</w:t>
            </w:r>
          </w:p>
        </w:tc>
        <w:tc>
          <w:tcPr>
            <w:tcW w:type="dxa" w:w="1491"/>
          </w:tcPr>
          <w:p>
            <w:pPr>
              <w:jc w:val="center"/>
            </w:pPr>
            <w:r>
              <w:rPr>
                <w:sz w:val="16"/>
              </w:rPr>
              <w:t>91.7%</w:t>
            </w:r>
          </w:p>
        </w:tc>
        <w:tc>
          <w:tcPr>
            <w:tcW w:type="dxa" w:w="1491"/>
          </w:tcPr>
          <w:p>
            <w:pPr>
              <w:jc w:val="center"/>
            </w:pPr>
            <w:r>
              <w:rPr>
                <w:sz w:val="16"/>
              </w:rPr>
              <w:t>54.2%</w:t>
            </w:r>
          </w:p>
        </w:tc>
        <w:tc>
          <w:tcPr>
            <w:tcW w:type="dxa" w:w="1491"/>
          </w:tcPr>
          <w:p>
            <w:pPr>
              <w:jc w:val="center"/>
            </w:pPr>
            <w:r>
              <w:rPr>
                <w:sz w:val="16"/>
              </w:rPr>
              <w:t>92.8%</w:t>
            </w:r>
          </w:p>
        </w:tc>
        <w:tc>
          <w:tcPr>
            <w:tcW w:type="dxa" w:w="1491"/>
          </w:tcPr>
          <w:p>
            <w:pPr>
              <w:jc w:val="center"/>
            </w:pPr>
            <w:r>
              <w:rPr>
                <w:sz w:val="16"/>
              </w:rPr>
              <w:t>82.5%</w:t>
            </w:r>
          </w:p>
        </w:tc>
        <w:tc>
          <w:tcPr>
            <w:tcW w:type="dxa" w:w="1491"/>
          </w:tcPr>
          <w:p>
            <w:pPr>
              <w:jc w:val="center"/>
            </w:pPr>
            <w:r>
              <w:rPr>
                <w:sz w:val="16"/>
              </w:rPr>
              <w:t>0.87</w:t>
            </w:r>
          </w:p>
        </w:tc>
      </w:tr>
    </w:tbl>
    <w:p/>
    <w:p>
      <w:r>
        <w:rPr>
          <w:rFonts w:ascii="Times New Roman" w:hAnsi="Times New Roman"/>
          <w:i/>
          <w:sz w:val="20"/>
        </w:rPr>
        <w:t>B. Transfer Learning Effectiveness</w:t>
      </w:r>
    </w:p>
    <w:p>
      <w:pPr>
        <w:jc w:val="both"/>
      </w:pPr>
      <w:r>
        <w:rPr>
          <w:rFonts w:ascii="Times New Roman" w:hAnsi="Times New Roman"/>
          <w:sz w:val="20"/>
        </w:rPr>
        <w:t>Table II demonstrates the effectiveness of our two-stage domain-bridge transfer learning approach compared to alternative strategies. Training from scratch (random initialization) achieves only 56.9% mAP50, highlighting the data insufficiency challenge. Direct transfer from ImageNet improves performance to 72.3%, providing a 15.4 percentage points gain. Our domain-bridge approach, which introduces X-ray pre-training as an intermediate step, achieves 91.7%—an additional 19.4 percentage points improvement over direct transfer.</w:t>
      </w:r>
    </w:p>
    <w:p>
      <w:pPr>
        <w:jc w:val="center"/>
      </w:pPr>
      <w:r>
        <w:rPr>
          <w:rFonts w:ascii="Times New Roman" w:hAnsi="Times New Roman"/>
          <w:sz w:val="16"/>
        </w:rPr>
        <w:t>TABLE II</w:t>
      </w:r>
    </w:p>
    <w:p>
      <w:pPr>
        <w:jc w:val="center"/>
      </w:pPr>
      <w:r>
        <w:rPr>
          <w:rFonts w:ascii="Times New Roman" w:hAnsi="Times New Roman"/>
          <w:sz w:val="16"/>
        </w:rPr>
        <w:t>TRANSFER LEARNING STRATEGY COMPARISON (YOLO11S)</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Pr>
                <w:b/>
                <w:sz w:val="16"/>
              </w:rPr>
              <w:t>Strategy</w:t>
            </w:r>
          </w:p>
        </w:tc>
        <w:tc>
          <w:tcPr>
            <w:tcW w:type="dxa" w:w="2610"/>
          </w:tcPr>
          <w:p>
            <w:pPr>
              <w:jc w:val="center"/>
            </w:pPr>
            <w:r>
              <w:rPr>
                <w:b/>
                <w:sz w:val="16"/>
              </w:rPr>
              <w:t>Pre-training Path</w:t>
            </w:r>
          </w:p>
        </w:tc>
        <w:tc>
          <w:tcPr>
            <w:tcW w:type="dxa" w:w="2610"/>
          </w:tcPr>
          <w:p>
            <w:pPr>
              <w:jc w:val="center"/>
            </w:pPr>
            <w:r>
              <w:rPr>
                <w:b/>
                <w:sz w:val="16"/>
              </w:rPr>
              <w:t>mAP50</w:t>
            </w:r>
          </w:p>
        </w:tc>
        <w:tc>
          <w:tcPr>
            <w:tcW w:type="dxa" w:w="2610"/>
          </w:tcPr>
          <w:p>
            <w:pPr>
              <w:jc w:val="center"/>
            </w:pPr>
            <w:r>
              <w:rPr>
                <w:b/>
                <w:sz w:val="16"/>
              </w:rPr>
              <w:t>Gain</w:t>
            </w:r>
          </w:p>
        </w:tc>
      </w:tr>
      <w:tr>
        <w:tc>
          <w:tcPr>
            <w:tcW w:type="dxa" w:w="2610"/>
          </w:tcPr>
          <w:p>
            <w:pPr>
              <w:jc w:val="center"/>
            </w:pPr>
            <w:r>
              <w:rPr>
                <w:sz w:val="16"/>
              </w:rPr>
              <w:t>Baseline</w:t>
            </w:r>
          </w:p>
        </w:tc>
        <w:tc>
          <w:tcPr>
            <w:tcW w:type="dxa" w:w="2610"/>
          </w:tcPr>
          <w:p>
            <w:pPr>
              <w:jc w:val="center"/>
            </w:pPr>
            <w:r>
              <w:rPr>
                <w:sz w:val="16"/>
              </w:rPr>
              <w:t>Random → DPF</w:t>
            </w:r>
          </w:p>
        </w:tc>
        <w:tc>
          <w:tcPr>
            <w:tcW w:type="dxa" w:w="2610"/>
          </w:tcPr>
          <w:p>
            <w:pPr>
              <w:jc w:val="center"/>
            </w:pPr>
            <w:r>
              <w:rPr>
                <w:sz w:val="16"/>
              </w:rPr>
              <w:t>56.9%</w:t>
            </w:r>
          </w:p>
        </w:tc>
        <w:tc>
          <w:tcPr>
            <w:tcW w:type="dxa" w:w="2610"/>
          </w:tcPr>
          <w:p>
            <w:pPr>
              <w:jc w:val="center"/>
            </w:pPr>
            <w:r>
              <w:rPr>
                <w:sz w:val="16"/>
              </w:rPr>
              <w:t>—</w:t>
            </w:r>
          </w:p>
        </w:tc>
      </w:tr>
      <w:tr>
        <w:tc>
          <w:tcPr>
            <w:tcW w:type="dxa" w:w="2610"/>
          </w:tcPr>
          <w:p>
            <w:pPr>
              <w:jc w:val="center"/>
            </w:pPr>
            <w:r>
              <w:rPr>
                <w:sz w:val="16"/>
              </w:rPr>
              <w:t>Direct Transfer</w:t>
            </w:r>
          </w:p>
        </w:tc>
        <w:tc>
          <w:tcPr>
            <w:tcW w:type="dxa" w:w="2610"/>
          </w:tcPr>
          <w:p>
            <w:pPr>
              <w:jc w:val="center"/>
            </w:pPr>
            <w:r>
              <w:rPr>
                <w:sz w:val="16"/>
              </w:rPr>
              <w:t>ImageNet → DPF</w:t>
            </w:r>
          </w:p>
        </w:tc>
        <w:tc>
          <w:tcPr>
            <w:tcW w:type="dxa" w:w="2610"/>
          </w:tcPr>
          <w:p>
            <w:pPr>
              <w:jc w:val="center"/>
            </w:pPr>
            <w:r>
              <w:rPr>
                <w:sz w:val="16"/>
              </w:rPr>
              <w:t>72.3%</w:t>
            </w:r>
          </w:p>
        </w:tc>
        <w:tc>
          <w:tcPr>
            <w:tcW w:type="dxa" w:w="2610"/>
          </w:tcPr>
          <w:p>
            <w:pPr>
              <w:jc w:val="center"/>
            </w:pPr>
            <w:r>
              <w:rPr>
                <w:sz w:val="16"/>
              </w:rPr>
              <w:t>+15.4%p</w:t>
            </w:r>
          </w:p>
        </w:tc>
      </w:tr>
      <w:tr>
        <w:tc>
          <w:tcPr>
            <w:tcW w:type="dxa" w:w="2610"/>
          </w:tcPr>
          <w:p>
            <w:pPr>
              <w:jc w:val="center"/>
            </w:pPr>
            <w:r>
              <w:rPr>
                <w:sz w:val="16"/>
              </w:rPr>
              <w:t>Domain Bridge</w:t>
            </w:r>
          </w:p>
        </w:tc>
        <w:tc>
          <w:tcPr>
            <w:tcW w:type="dxa" w:w="2610"/>
          </w:tcPr>
          <w:p>
            <w:pPr>
              <w:jc w:val="center"/>
            </w:pPr>
            <w:r>
              <w:rPr>
                <w:sz w:val="16"/>
              </w:rPr>
              <w:t>ImageNet → X-ray → DPF</w:t>
            </w:r>
          </w:p>
        </w:tc>
        <w:tc>
          <w:tcPr>
            <w:tcW w:type="dxa" w:w="2610"/>
          </w:tcPr>
          <w:p>
            <w:pPr>
              <w:jc w:val="center"/>
            </w:pPr>
            <w:r>
              <w:rPr>
                <w:sz w:val="16"/>
              </w:rPr>
              <w:t>91.7%</w:t>
            </w:r>
          </w:p>
        </w:tc>
        <w:tc>
          <w:tcPr>
            <w:tcW w:type="dxa" w:w="2610"/>
          </w:tcPr>
          <w:p>
            <w:pPr>
              <w:jc w:val="center"/>
            </w:pPr>
            <w:r>
              <w:rPr>
                <w:sz w:val="16"/>
              </w:rPr>
              <w:t>+34.8%p</w:t>
            </w:r>
          </w:p>
        </w:tc>
      </w:tr>
    </w:tbl>
    <w:p/>
    <w:p>
      <w:r>
        <w:rPr>
          <w:rFonts w:ascii="Times New Roman" w:hAnsi="Times New Roman"/>
          <w:i/>
          <w:sz w:val="20"/>
        </w:rPr>
        <w:t>C. Late Blooming Phenomenon Analysis</w:t>
      </w:r>
    </w:p>
    <w:p>
      <w:pPr>
        <w:jc w:val="both"/>
      </w:pPr>
      <w:r>
        <w:rPr>
          <w:rFonts w:ascii="Times New Roman" w:hAnsi="Times New Roman"/>
          <w:sz w:val="20"/>
        </w:rPr>
        <w:t>A critical finding of this study is the 'late blooming' phenomenon observed in YOLO11's training dynamics. Table III shows the performance progression across training epochs. At epoch 50—a common stopping point in many studies—YOLO11s achieves 76.9% mAP50. However, training through epoch 100 reveals significant additional improvement, with final performance reaching 91.7%. This 14.8 percentage points gain represents 19.2% of the final performance occurring in the second half of training.</w:t>
      </w:r>
    </w:p>
    <w:p>
      <w:pPr>
        <w:jc w:val="both"/>
      </w:pPr>
      <w:r>
        <w:rPr>
          <w:rFonts w:ascii="Times New Roman" w:hAnsi="Times New Roman"/>
          <w:sz w:val="20"/>
        </w:rPr>
        <w:t>The training process can be divided into four distinct phases:</w:t>
        <w:br/>
        <w:br/>
        <w:t>Phase 1 (Epochs 1-25): Transfer adaptation period with rapid improvement from 37.2% to 69.1% (+31.9%p).</w:t>
        <w:br/>
        <w:br/>
        <w:t>Phase 2 (Epochs 26-50): Gradual refinement with stable improvement from 69.1% to 76.9% (+7.8%p).</w:t>
        <w:br/>
        <w:br/>
        <w:t>Phase 3 (Epochs 51-75): Accelerated improvement phase ('blooming') from 76.9% to 89.5% (+12.6%p). This phase shows 1.6× faster improvement rate compared to Phase 2.</w:t>
        <w:br/>
        <w:br/>
        <w:t>Phase 4 (Epochs 76-100): Final convergence with fine-tuning from 89.5% to 91.7% (+2.2%p).</w:t>
      </w:r>
    </w:p>
    <w:p>
      <w:pPr>
        <w:jc w:val="center"/>
      </w:pPr>
      <w:r>
        <w:rPr>
          <w:rFonts w:ascii="Times New Roman" w:hAnsi="Times New Roman"/>
          <w:sz w:val="16"/>
        </w:rPr>
        <w:t>TABLE III</w:t>
      </w:r>
    </w:p>
    <w:p>
      <w:pPr>
        <w:jc w:val="center"/>
      </w:pPr>
      <w:r>
        <w:rPr>
          <w:rFonts w:ascii="Times New Roman" w:hAnsi="Times New Roman"/>
          <w:sz w:val="16"/>
        </w:rPr>
        <w:t>EPOCH-WISE PERFORMANCE PROGRESSION</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b/>
                <w:sz w:val="16"/>
              </w:rPr>
              <w:t>Epoch</w:t>
            </w:r>
          </w:p>
        </w:tc>
        <w:tc>
          <w:tcPr>
            <w:tcW w:type="dxa" w:w="2088"/>
          </w:tcPr>
          <w:p>
            <w:pPr>
              <w:jc w:val="center"/>
            </w:pPr>
            <w:r>
              <w:rPr>
                <w:b/>
                <w:sz w:val="16"/>
              </w:rPr>
              <w:t>YOLO11s mAP50</w:t>
            </w:r>
          </w:p>
        </w:tc>
        <w:tc>
          <w:tcPr>
            <w:tcW w:type="dxa" w:w="2088"/>
          </w:tcPr>
          <w:p>
            <w:pPr>
              <w:jc w:val="center"/>
            </w:pPr>
            <w:r>
              <w:rPr>
                <w:b/>
                <w:sz w:val="16"/>
              </w:rPr>
              <w:t>YOLOv8s mAP50</w:t>
            </w:r>
          </w:p>
        </w:tc>
        <w:tc>
          <w:tcPr>
            <w:tcW w:type="dxa" w:w="2088"/>
          </w:tcPr>
          <w:p>
            <w:pPr>
              <w:jc w:val="center"/>
            </w:pPr>
            <w:r>
              <w:rPr>
                <w:b/>
                <w:sz w:val="16"/>
              </w:rPr>
              <w:t>Difference</w:t>
            </w:r>
          </w:p>
        </w:tc>
        <w:tc>
          <w:tcPr>
            <w:tcW w:type="dxa" w:w="2088"/>
          </w:tcPr>
          <w:p>
            <w:pPr>
              <w:jc w:val="center"/>
            </w:pPr>
            <w:r>
              <w:rPr>
                <w:b/>
                <w:sz w:val="16"/>
              </w:rPr>
              <w:t>Phase</w:t>
            </w:r>
          </w:p>
        </w:tc>
      </w:tr>
      <w:tr>
        <w:tc>
          <w:tcPr>
            <w:tcW w:type="dxa" w:w="2088"/>
          </w:tcPr>
          <w:p>
            <w:pPr>
              <w:jc w:val="center"/>
            </w:pPr>
            <w:r>
              <w:rPr>
                <w:sz w:val="16"/>
              </w:rPr>
              <w:t>1</w:t>
            </w:r>
          </w:p>
        </w:tc>
        <w:tc>
          <w:tcPr>
            <w:tcW w:type="dxa" w:w="2088"/>
          </w:tcPr>
          <w:p>
            <w:pPr>
              <w:jc w:val="center"/>
            </w:pPr>
            <w:r>
              <w:rPr>
                <w:sz w:val="16"/>
              </w:rPr>
              <w:t>37.2%</w:t>
            </w:r>
          </w:p>
        </w:tc>
        <w:tc>
          <w:tcPr>
            <w:tcW w:type="dxa" w:w="2088"/>
          </w:tcPr>
          <w:p>
            <w:pPr>
              <w:jc w:val="center"/>
            </w:pPr>
            <w:r>
              <w:rPr>
                <w:sz w:val="16"/>
              </w:rPr>
              <w:t>35.1%</w:t>
            </w:r>
          </w:p>
        </w:tc>
        <w:tc>
          <w:tcPr>
            <w:tcW w:type="dxa" w:w="2088"/>
          </w:tcPr>
          <w:p>
            <w:pPr>
              <w:jc w:val="center"/>
            </w:pPr>
            <w:r>
              <w:rPr>
                <w:sz w:val="16"/>
              </w:rPr>
              <w:t>+2.1%p</w:t>
            </w:r>
          </w:p>
        </w:tc>
        <w:tc>
          <w:tcPr>
            <w:tcW w:type="dxa" w:w="2088"/>
          </w:tcPr>
          <w:p>
            <w:pPr>
              <w:jc w:val="center"/>
            </w:pPr>
            <w:r>
              <w:rPr>
                <w:sz w:val="16"/>
              </w:rPr>
              <w:t>Phase 1</w:t>
            </w:r>
          </w:p>
        </w:tc>
      </w:tr>
      <w:tr>
        <w:tc>
          <w:tcPr>
            <w:tcW w:type="dxa" w:w="2088"/>
          </w:tcPr>
          <w:p>
            <w:pPr>
              <w:jc w:val="center"/>
            </w:pPr>
            <w:r>
              <w:rPr>
                <w:sz w:val="16"/>
              </w:rPr>
              <w:t>25</w:t>
            </w:r>
          </w:p>
        </w:tc>
        <w:tc>
          <w:tcPr>
            <w:tcW w:type="dxa" w:w="2088"/>
          </w:tcPr>
          <w:p>
            <w:pPr>
              <w:jc w:val="center"/>
            </w:pPr>
            <w:r>
              <w:rPr>
                <w:sz w:val="16"/>
              </w:rPr>
              <w:t>69.1%</w:t>
            </w:r>
          </w:p>
        </w:tc>
        <w:tc>
          <w:tcPr>
            <w:tcW w:type="dxa" w:w="2088"/>
          </w:tcPr>
          <w:p>
            <w:pPr>
              <w:jc w:val="center"/>
            </w:pPr>
            <w:r>
              <w:rPr>
                <w:sz w:val="16"/>
              </w:rPr>
              <w:t>58.3%</w:t>
            </w:r>
          </w:p>
        </w:tc>
        <w:tc>
          <w:tcPr>
            <w:tcW w:type="dxa" w:w="2088"/>
          </w:tcPr>
          <w:p>
            <w:pPr>
              <w:jc w:val="center"/>
            </w:pPr>
            <w:r>
              <w:rPr>
                <w:sz w:val="16"/>
              </w:rPr>
              <w:t>+10.8%p</w:t>
            </w:r>
          </w:p>
        </w:tc>
        <w:tc>
          <w:tcPr>
            <w:tcW w:type="dxa" w:w="2088"/>
          </w:tcPr>
          <w:p>
            <w:pPr>
              <w:jc w:val="center"/>
            </w:pPr>
            <w:r>
              <w:rPr>
                <w:sz w:val="16"/>
              </w:rPr>
              <w:t>Phase 1</w:t>
            </w:r>
          </w:p>
        </w:tc>
      </w:tr>
      <w:tr>
        <w:tc>
          <w:tcPr>
            <w:tcW w:type="dxa" w:w="2088"/>
          </w:tcPr>
          <w:p>
            <w:pPr>
              <w:jc w:val="center"/>
            </w:pPr>
            <w:r>
              <w:rPr>
                <w:sz w:val="16"/>
              </w:rPr>
              <w:t>50</w:t>
            </w:r>
          </w:p>
        </w:tc>
        <w:tc>
          <w:tcPr>
            <w:tcW w:type="dxa" w:w="2088"/>
          </w:tcPr>
          <w:p>
            <w:pPr>
              <w:jc w:val="center"/>
            </w:pPr>
            <w:r>
              <w:rPr>
                <w:sz w:val="16"/>
              </w:rPr>
              <w:t>76.9%</w:t>
            </w:r>
          </w:p>
        </w:tc>
        <w:tc>
          <w:tcPr>
            <w:tcW w:type="dxa" w:w="2088"/>
          </w:tcPr>
          <w:p>
            <w:pPr>
              <w:jc w:val="center"/>
            </w:pPr>
            <w:r>
              <w:rPr>
                <w:sz w:val="16"/>
              </w:rPr>
              <w:t>62.1%</w:t>
            </w:r>
          </w:p>
        </w:tc>
        <w:tc>
          <w:tcPr>
            <w:tcW w:type="dxa" w:w="2088"/>
          </w:tcPr>
          <w:p>
            <w:pPr>
              <w:jc w:val="center"/>
            </w:pPr>
            <w:r>
              <w:rPr>
                <w:sz w:val="16"/>
              </w:rPr>
              <w:t>+14.8%p</w:t>
            </w:r>
          </w:p>
        </w:tc>
        <w:tc>
          <w:tcPr>
            <w:tcW w:type="dxa" w:w="2088"/>
          </w:tcPr>
          <w:p>
            <w:pPr>
              <w:jc w:val="center"/>
            </w:pPr>
            <w:r>
              <w:rPr>
                <w:sz w:val="16"/>
              </w:rPr>
              <w:t>Phase 2</w:t>
            </w:r>
          </w:p>
        </w:tc>
      </w:tr>
      <w:tr>
        <w:tc>
          <w:tcPr>
            <w:tcW w:type="dxa" w:w="2088"/>
          </w:tcPr>
          <w:p>
            <w:pPr>
              <w:jc w:val="center"/>
            </w:pPr>
            <w:r>
              <w:rPr>
                <w:sz w:val="16"/>
              </w:rPr>
              <w:t>75</w:t>
            </w:r>
          </w:p>
        </w:tc>
        <w:tc>
          <w:tcPr>
            <w:tcW w:type="dxa" w:w="2088"/>
          </w:tcPr>
          <w:p>
            <w:pPr>
              <w:jc w:val="center"/>
            </w:pPr>
            <w:r>
              <w:rPr>
                <w:sz w:val="16"/>
              </w:rPr>
              <w:t>89.5%</w:t>
            </w:r>
          </w:p>
        </w:tc>
        <w:tc>
          <w:tcPr>
            <w:tcW w:type="dxa" w:w="2088"/>
          </w:tcPr>
          <w:p>
            <w:pPr>
              <w:jc w:val="center"/>
            </w:pPr>
            <w:r>
              <w:rPr>
                <w:sz w:val="16"/>
              </w:rPr>
              <w:t>62.2%</w:t>
            </w:r>
          </w:p>
        </w:tc>
        <w:tc>
          <w:tcPr>
            <w:tcW w:type="dxa" w:w="2088"/>
          </w:tcPr>
          <w:p>
            <w:pPr>
              <w:jc w:val="center"/>
            </w:pPr>
            <w:r>
              <w:rPr>
                <w:sz w:val="16"/>
              </w:rPr>
              <w:t>+27.3%p</w:t>
            </w:r>
          </w:p>
        </w:tc>
        <w:tc>
          <w:tcPr>
            <w:tcW w:type="dxa" w:w="2088"/>
          </w:tcPr>
          <w:p>
            <w:pPr>
              <w:jc w:val="center"/>
            </w:pPr>
            <w:r>
              <w:rPr>
                <w:sz w:val="16"/>
              </w:rPr>
              <w:t>Phase 3</w:t>
            </w:r>
          </w:p>
        </w:tc>
      </w:tr>
      <w:tr>
        <w:tc>
          <w:tcPr>
            <w:tcW w:type="dxa" w:w="2088"/>
          </w:tcPr>
          <w:p>
            <w:pPr>
              <w:jc w:val="center"/>
            </w:pPr>
            <w:r>
              <w:rPr>
                <w:sz w:val="16"/>
              </w:rPr>
              <w:t>100</w:t>
            </w:r>
          </w:p>
        </w:tc>
        <w:tc>
          <w:tcPr>
            <w:tcW w:type="dxa" w:w="2088"/>
          </w:tcPr>
          <w:p>
            <w:pPr>
              <w:jc w:val="center"/>
            </w:pPr>
            <w:r>
              <w:rPr>
                <w:sz w:val="16"/>
              </w:rPr>
              <w:t>91.7%</w:t>
            </w:r>
          </w:p>
        </w:tc>
        <w:tc>
          <w:tcPr>
            <w:tcW w:type="dxa" w:w="2088"/>
          </w:tcPr>
          <w:p>
            <w:pPr>
              <w:jc w:val="center"/>
            </w:pPr>
            <w:r>
              <w:rPr>
                <w:sz w:val="16"/>
              </w:rPr>
              <w:t>62.3%</w:t>
            </w:r>
          </w:p>
        </w:tc>
        <w:tc>
          <w:tcPr>
            <w:tcW w:type="dxa" w:w="2088"/>
          </w:tcPr>
          <w:p>
            <w:pPr>
              <w:jc w:val="center"/>
            </w:pPr>
            <w:r>
              <w:rPr>
                <w:sz w:val="16"/>
              </w:rPr>
              <w:t>+29.4%p</w:t>
            </w:r>
          </w:p>
        </w:tc>
        <w:tc>
          <w:tcPr>
            <w:tcW w:type="dxa" w:w="2088"/>
          </w:tcPr>
          <w:p>
            <w:pPr>
              <w:jc w:val="center"/>
            </w:pPr>
            <w:r>
              <w:rPr>
                <w:sz w:val="16"/>
              </w:rPr>
              <w:t>Phase 4</w:t>
            </w:r>
          </w:p>
        </w:tc>
      </w:tr>
    </w:tbl>
    <w:p/>
    <w:p>
      <w:r>
        <w:rPr>
          <w:rFonts w:ascii="Times New Roman" w:hAnsi="Times New Roman"/>
          <w:i/>
          <w:sz w:val="20"/>
        </w:rPr>
        <w:t>D. Class-wise Performance Analysis</w:t>
      </w:r>
    </w:p>
    <w:p>
      <w:pPr>
        <w:jc w:val="both"/>
      </w:pPr>
      <w:r>
        <w:rPr>
          <w:rFonts w:ascii="Times New Roman" w:hAnsi="Times New Roman"/>
          <w:sz w:val="20"/>
        </w:rPr>
        <w:t>Table IV presents class-wise performance metrics. YOLO11s achieves notably higher precision for the Crack class (100.0% vs 68.5%), indicating zero false positive predictions for crack defects. Both classes show balanced improvement, with AP gains of approximately 29 percentage points for each class.</w:t>
      </w:r>
    </w:p>
    <w:p>
      <w:pPr>
        <w:jc w:val="center"/>
      </w:pPr>
      <w:r>
        <w:rPr>
          <w:rFonts w:ascii="Times New Roman" w:hAnsi="Times New Roman"/>
          <w:sz w:val="16"/>
        </w:rPr>
        <w:t>TABLE IV</w:t>
      </w:r>
    </w:p>
    <w:p>
      <w:pPr>
        <w:jc w:val="center"/>
      </w:pPr>
      <w:r>
        <w:rPr>
          <w:rFonts w:ascii="Times New Roman" w:hAnsi="Times New Roman"/>
          <w:sz w:val="16"/>
        </w:rPr>
        <w:t>CLASS-WISE PERFORMANCE COMPARISON</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b/>
                <w:sz w:val="16"/>
              </w:rPr>
              <w:t>Class</w:t>
            </w:r>
          </w:p>
        </w:tc>
        <w:tc>
          <w:tcPr>
            <w:tcW w:type="dxa" w:w="2088"/>
          </w:tcPr>
          <w:p>
            <w:pPr>
              <w:jc w:val="center"/>
            </w:pPr>
            <w:r>
              <w:rPr>
                <w:b/>
                <w:sz w:val="16"/>
              </w:rPr>
              <w:t>Model</w:t>
            </w:r>
          </w:p>
        </w:tc>
        <w:tc>
          <w:tcPr>
            <w:tcW w:type="dxa" w:w="2088"/>
          </w:tcPr>
          <w:p>
            <w:pPr>
              <w:jc w:val="center"/>
            </w:pPr>
            <w:r>
              <w:rPr>
                <w:b/>
                <w:sz w:val="16"/>
              </w:rPr>
              <w:t>AP</w:t>
            </w:r>
          </w:p>
        </w:tc>
        <w:tc>
          <w:tcPr>
            <w:tcW w:type="dxa" w:w="2088"/>
          </w:tcPr>
          <w:p>
            <w:pPr>
              <w:jc w:val="center"/>
            </w:pPr>
            <w:r>
              <w:rPr>
                <w:b/>
                <w:sz w:val="16"/>
              </w:rPr>
              <w:t>Precision</w:t>
            </w:r>
          </w:p>
        </w:tc>
        <w:tc>
          <w:tcPr>
            <w:tcW w:type="dxa" w:w="2088"/>
          </w:tcPr>
          <w:p>
            <w:pPr>
              <w:jc w:val="center"/>
            </w:pPr>
            <w:r>
              <w:rPr>
                <w:b/>
                <w:sz w:val="16"/>
              </w:rPr>
              <w:t>Recall</w:t>
            </w:r>
          </w:p>
        </w:tc>
      </w:tr>
      <w:tr>
        <w:tc>
          <w:tcPr>
            <w:tcW w:type="dxa" w:w="2088"/>
          </w:tcPr>
          <w:p>
            <w:pPr>
              <w:jc w:val="center"/>
            </w:pPr>
            <w:r>
              <w:rPr>
                <w:sz w:val="16"/>
              </w:rPr>
              <w:t>Crack</w:t>
            </w:r>
          </w:p>
        </w:tc>
        <w:tc>
          <w:tcPr>
            <w:tcW w:type="dxa" w:w="2088"/>
          </w:tcPr>
          <w:p>
            <w:pPr>
              <w:jc w:val="center"/>
            </w:pPr>
            <w:r>
              <w:rPr>
                <w:sz w:val="16"/>
              </w:rPr>
              <w:t>YOLOv8s</w:t>
            </w:r>
          </w:p>
        </w:tc>
        <w:tc>
          <w:tcPr>
            <w:tcW w:type="dxa" w:w="2088"/>
          </w:tcPr>
          <w:p>
            <w:pPr>
              <w:jc w:val="center"/>
            </w:pPr>
            <w:r>
              <w:rPr>
                <w:sz w:val="16"/>
              </w:rPr>
              <w:t>61.8%</w:t>
            </w:r>
          </w:p>
        </w:tc>
        <w:tc>
          <w:tcPr>
            <w:tcW w:type="dxa" w:w="2088"/>
          </w:tcPr>
          <w:p>
            <w:pPr>
              <w:jc w:val="center"/>
            </w:pPr>
            <w:r>
              <w:rPr>
                <w:sz w:val="16"/>
              </w:rPr>
              <w:t>68.5%</w:t>
            </w:r>
          </w:p>
        </w:tc>
        <w:tc>
          <w:tcPr>
            <w:tcW w:type="dxa" w:w="2088"/>
          </w:tcPr>
          <w:p>
            <w:pPr>
              <w:jc w:val="center"/>
            </w:pPr>
            <w:r>
              <w:rPr>
                <w:sz w:val="16"/>
              </w:rPr>
              <w:t>71.2%</w:t>
            </w:r>
          </w:p>
        </w:tc>
      </w:tr>
      <w:tr>
        <w:tc>
          <w:tcPr>
            <w:tcW w:type="dxa" w:w="2088"/>
          </w:tcPr>
          <w:p>
            <w:pPr>
              <w:jc w:val="center"/>
            </w:pPr>
            <w:r>
              <w:rPr>
                <w:sz w:val="16"/>
              </w:rPr>
              <w:t>Crack</w:t>
            </w:r>
          </w:p>
        </w:tc>
        <w:tc>
          <w:tcPr>
            <w:tcW w:type="dxa" w:w="2088"/>
          </w:tcPr>
          <w:p>
            <w:pPr>
              <w:jc w:val="center"/>
            </w:pPr>
            <w:r>
              <w:rPr>
                <w:sz w:val="16"/>
              </w:rPr>
              <w:t>YOLO11s</w:t>
            </w:r>
          </w:p>
        </w:tc>
        <w:tc>
          <w:tcPr>
            <w:tcW w:type="dxa" w:w="2088"/>
          </w:tcPr>
          <w:p>
            <w:pPr>
              <w:jc w:val="center"/>
            </w:pPr>
            <w:r>
              <w:rPr>
                <w:sz w:val="16"/>
              </w:rPr>
              <w:t>91.2%</w:t>
            </w:r>
          </w:p>
        </w:tc>
        <w:tc>
          <w:tcPr>
            <w:tcW w:type="dxa" w:w="2088"/>
          </w:tcPr>
          <w:p>
            <w:pPr>
              <w:jc w:val="center"/>
            </w:pPr>
            <w:r>
              <w:rPr>
                <w:sz w:val="16"/>
              </w:rPr>
              <w:t>100.0%</w:t>
            </w:r>
          </w:p>
        </w:tc>
        <w:tc>
          <w:tcPr>
            <w:tcW w:type="dxa" w:w="2088"/>
          </w:tcPr>
          <w:p>
            <w:pPr>
              <w:jc w:val="center"/>
            </w:pPr>
            <w:r>
              <w:rPr>
                <w:sz w:val="16"/>
              </w:rPr>
              <w:t>82.5%</w:t>
            </w:r>
          </w:p>
        </w:tc>
      </w:tr>
      <w:tr>
        <w:tc>
          <w:tcPr>
            <w:tcW w:type="dxa" w:w="2088"/>
          </w:tcPr>
          <w:p>
            <w:pPr>
              <w:jc w:val="center"/>
            </w:pPr>
            <w:r>
              <w:rPr>
                <w:sz w:val="16"/>
              </w:rPr>
              <w:t>Melting</w:t>
            </w:r>
          </w:p>
        </w:tc>
        <w:tc>
          <w:tcPr>
            <w:tcW w:type="dxa" w:w="2088"/>
          </w:tcPr>
          <w:p>
            <w:pPr>
              <w:jc w:val="center"/>
            </w:pPr>
            <w:r>
              <w:rPr>
                <w:sz w:val="16"/>
              </w:rPr>
              <w:t>YOLOv8s</w:t>
            </w:r>
          </w:p>
        </w:tc>
        <w:tc>
          <w:tcPr>
            <w:tcW w:type="dxa" w:w="2088"/>
          </w:tcPr>
          <w:p>
            <w:pPr>
              <w:jc w:val="center"/>
            </w:pPr>
            <w:r>
              <w:rPr>
                <w:sz w:val="16"/>
              </w:rPr>
              <w:t>62.8%</w:t>
            </w:r>
          </w:p>
        </w:tc>
        <w:tc>
          <w:tcPr>
            <w:tcW w:type="dxa" w:w="2088"/>
          </w:tcPr>
          <w:p>
            <w:pPr>
              <w:jc w:val="center"/>
            </w:pPr>
            <w:r>
              <w:rPr>
                <w:sz w:val="16"/>
              </w:rPr>
              <w:t>75.1%</w:t>
            </w:r>
          </w:p>
        </w:tc>
        <w:tc>
          <w:tcPr>
            <w:tcW w:type="dxa" w:w="2088"/>
          </w:tcPr>
          <w:p>
            <w:pPr>
              <w:jc w:val="center"/>
            </w:pPr>
            <w:r>
              <w:rPr>
                <w:sz w:val="16"/>
              </w:rPr>
              <w:t>65.8%</w:t>
            </w:r>
          </w:p>
        </w:tc>
      </w:tr>
      <w:tr>
        <w:tc>
          <w:tcPr>
            <w:tcW w:type="dxa" w:w="2088"/>
          </w:tcPr>
          <w:p>
            <w:pPr>
              <w:jc w:val="center"/>
            </w:pPr>
            <w:r>
              <w:rPr>
                <w:sz w:val="16"/>
              </w:rPr>
              <w:t>Melting</w:t>
            </w:r>
          </w:p>
        </w:tc>
        <w:tc>
          <w:tcPr>
            <w:tcW w:type="dxa" w:w="2088"/>
          </w:tcPr>
          <w:p>
            <w:pPr>
              <w:jc w:val="center"/>
            </w:pPr>
            <w:r>
              <w:rPr>
                <w:sz w:val="16"/>
              </w:rPr>
              <w:t>YOLO11s</w:t>
            </w:r>
          </w:p>
        </w:tc>
        <w:tc>
          <w:tcPr>
            <w:tcW w:type="dxa" w:w="2088"/>
          </w:tcPr>
          <w:p>
            <w:pPr>
              <w:jc w:val="center"/>
            </w:pPr>
            <w:r>
              <w:rPr>
                <w:sz w:val="16"/>
              </w:rPr>
              <w:t>92.2%</w:t>
            </w:r>
          </w:p>
        </w:tc>
        <w:tc>
          <w:tcPr>
            <w:tcW w:type="dxa" w:w="2088"/>
          </w:tcPr>
          <w:p>
            <w:pPr>
              <w:jc w:val="center"/>
            </w:pPr>
            <w:r>
              <w:rPr>
                <w:sz w:val="16"/>
              </w:rPr>
              <w:t>85.6%</w:t>
            </w:r>
          </w:p>
        </w:tc>
        <w:tc>
          <w:tcPr>
            <w:tcW w:type="dxa" w:w="2088"/>
          </w:tcPr>
          <w:p>
            <w:pPr>
              <w:jc w:val="center"/>
            </w:pPr>
            <w:r>
              <w:rPr>
                <w:sz w:val="16"/>
              </w:rPr>
              <w:t>81.9%</w:t>
            </w:r>
          </w:p>
        </w:tc>
      </w:tr>
    </w:tbl>
    <w:p/>
    <w:p>
      <w:r>
        <w:rPr>
          <w:rFonts w:ascii="Times New Roman" w:hAnsi="Times New Roman"/>
          <w:i/>
          <w:sz w:val="20"/>
        </w:rPr>
        <w:t>E. Statistical Significance</w:t>
      </w:r>
    </w:p>
    <w:p>
      <w:pPr>
        <w:jc w:val="both"/>
      </w:pPr>
      <w:r>
        <w:rPr>
          <w:rFonts w:ascii="Times New Roman" w:hAnsi="Times New Roman"/>
          <w:sz w:val="20"/>
        </w:rPr>
        <w:t>To validate the statistical significance of our findings, we conducted paired t-tests on class-wise AP values. The comparison between YOLO11s and YOLOv8s yields t-statistic=29.4 with p-value&lt;0.001, indicating highly significant differences (99.9% confidence level). Cohen's d=4.32 indicates a very large effect size. Reproducibility testing over three independent runs with identical seeds yields a coefficient of variation (CV) of 0.05%, confirming near-perfect reproducibility.</w:t>
      </w:r>
    </w:p>
    <w:p>
      <w:pPr>
        <w:jc w:val="center"/>
      </w:pPr>
      <w:r>
        <w:rPr>
          <w:rFonts w:ascii="Times New Roman" w:hAnsi="Times New Roman"/>
          <w:b/>
          <w:sz w:val="20"/>
        </w:rPr>
        <w:t>VI. DISCUSSION</w:t>
      </w:r>
    </w:p>
    <w:p>
      <w:r>
        <w:rPr>
          <w:rFonts w:ascii="Times New Roman" w:hAnsi="Times New Roman"/>
          <w:i/>
          <w:sz w:val="20"/>
        </w:rPr>
        <w:t>A. Interpretation of Key Findings</w:t>
      </w:r>
    </w:p>
    <w:p>
      <w:pPr>
        <w:jc w:val="both"/>
      </w:pPr>
      <w:r>
        <w:rPr>
          <w:rFonts w:ascii="Times New Roman" w:hAnsi="Times New Roman"/>
          <w:sz w:val="20"/>
        </w:rPr>
        <w:t>The superiority of domain-bridge transfer learning can be explained through the lens of feature space transition. When transferring from ImageNet to DPF directly, the model must bridge a large domain gap—from natural RGB images to industrial grayscale X-ray imagery. By introducing an intermediate X-ray defect domain, we create a more gradual transition path through feature space. The X-ray domain shares characteristics with both ImageNet (general visual patterns) and DPF inspection (defect-specific features, grayscale imagery, internal structure visualization).</w:t>
      </w:r>
    </w:p>
    <w:p>
      <w:pPr>
        <w:jc w:val="both"/>
      </w:pPr>
      <w:r>
        <w:rPr>
          <w:rFonts w:ascii="Times New Roman" w:hAnsi="Times New Roman"/>
          <w:sz w:val="20"/>
        </w:rPr>
        <w:t>The late blooming phenomenon in YOLO11 can be attributed to its C2PSA attention mechanism's complexity. The three parallel attention pathways (spatial, channel, and context) require extended training to achieve optimal synergy. During early training (Phases 1-2), each pathway optimizes somewhat independently. Only in Phase 3 does the fusion layer discover optimal combinations, leading to accelerated performance improvement. This finding has significant implications for practitioners: early stopping at 50 epochs—a common practice—may forfeit 16.1% of achievable performance with attention-based architectures.</w:t>
      </w:r>
    </w:p>
    <w:p>
      <w:r>
        <w:rPr>
          <w:rFonts w:ascii="Times New Roman" w:hAnsi="Times New Roman"/>
          <w:i/>
          <w:sz w:val="20"/>
        </w:rPr>
        <w:t>B. Practical Implications for Manufacturing</w:t>
      </w:r>
    </w:p>
    <w:p>
      <w:pPr>
        <w:jc w:val="both"/>
      </w:pPr>
      <w:r>
        <w:rPr>
          <w:rFonts w:ascii="Times New Roman" w:hAnsi="Times New Roman"/>
          <w:sz w:val="20"/>
        </w:rPr>
        <w:t>Our findings challenge two prevalent assumptions in manufacturing AI deployment:</w:t>
        <w:br/>
        <w:br/>
        <w:t>1) Data Requirements: The conventional wisdom that effective AI requires thousands of training samples is refuted by our 91.7% mAP50 achievement with 339 images. The key is not data volume but transfer strategy—identifying and leveraging intermediate domains that share characteristics with the target application.</w:t>
        <w:br/>
        <w:br/>
        <w:t>2) Training Duration: The common practice of early stopping at 50 epochs, based on validation plateau observation, may significantly underestimate model potential for attention-based architectures. The additional computational cost of extended training (estimated $2-5 in cloud computing) is trivial compared to the performance benefit (14.8 percentage points), which can translate to substantial operational savings.</w:t>
      </w:r>
    </w:p>
    <w:p>
      <w:r>
        <w:rPr>
          <w:rFonts w:ascii="Times New Roman" w:hAnsi="Times New Roman"/>
          <w:i/>
          <w:sz w:val="20"/>
        </w:rPr>
        <w:t>C. Limitations and Future Work</w:t>
      </w:r>
    </w:p>
    <w:p>
      <w:pPr>
        <w:jc w:val="both"/>
      </w:pPr>
      <w:r>
        <w:rPr>
          <w:rFonts w:ascii="Times New Roman" w:hAnsi="Times New Roman"/>
          <w:sz w:val="20"/>
        </w:rPr>
        <w:t>This study has several limitations that suggest directions for future research:</w:t>
        <w:br/>
        <w:br/>
        <w:t>1) Real-time Inference: Current CPU inference speed (~6.9 FPS) falls short of real-time requirements (30+ FPS). GPU optimization with TensorRT is expected to achieve 180-200 FPS, enabling production deployment.</w:t>
        <w:br/>
        <w:br/>
        <w:t>2) Generalization: The model is trained on data from a single manufacturer. Multi-manufacturer validation and few-shot adaptation protocols are needed for broader industrial applicability.</w:t>
        <w:br/>
        <w:br/>
        <w:t>3) Class Scope: Only two defect classes (Crack, Melting) are currently detected. Expansion to include clogging, corrosion, and deformation would enhance practical utility.</w:t>
        <w:br/>
        <w:br/>
        <w:t>4) Explainability: Integration of XAI techniques (Grad-CAM, SHAP) would improve operator trust and facilitate regulatory compliance.</w:t>
        <w:br/>
        <w:br/>
        <w:t>Future work will address these limitations through model optimization, domain adaptation techniques, incremental class learning, and explainability integration.</w:t>
      </w:r>
    </w:p>
    <w:p>
      <w:pPr>
        <w:jc w:val="center"/>
      </w:pPr>
      <w:r>
        <w:rPr>
          <w:rFonts w:ascii="Times New Roman" w:hAnsi="Times New Roman"/>
          <w:b/>
          <w:sz w:val="20"/>
        </w:rPr>
        <w:t>VII. CONCLUSION</w:t>
      </w:r>
    </w:p>
    <w:p>
      <w:pPr>
        <w:jc w:val="both"/>
      </w:pPr>
      <w:r>
        <w:rPr>
          <w:rFonts w:ascii="Times New Roman" w:hAnsi="Times New Roman"/>
          <w:sz w:val="20"/>
        </w:rPr>
        <w:t>This paper presents a domain-bridge transfer learning framework that achieves 91.7% mAP50 in DPF defect detection using only 339 training images. The key contributions are:</w:t>
        <w:br/>
        <w:br/>
        <w:t>1) A two-stage transfer learning approach that leverages an intermediate X-ray domain to bridge the gap between ImageNet pre-training and specialized DPF inspection, yielding 19.4 percentage points improvement over direct transfer.</w:t>
        <w:br/>
        <w:br/>
        <w:t>2) Documentation of the 'late blooming' phenomenon in attention-based architectures, demonstrating that 14.8 percentage points of performance gain occurs after the commonly-used 50-epoch stopping point.</w:t>
        <w:br/>
        <w:br/>
        <w:t>3) Comprehensive evaluation showing YOLO11's C2PSA attention mechanism achieves 47.2% relative improvement over YOLOv8 under identical conditions.</w:t>
        <w:br/>
        <w:br/>
        <w:t>4) Practical guidelines for manufacturing AI deployment: select domain-similar intermediate datasets for pre-training, extend training duration for attention-based models, and achieve production-ready accuracy with minimal data investment.</w:t>
        <w:br/>
        <w:br/>
        <w:t>These findings demonstrate that data scarcity need not be a barrier to AI adoption in manufacturing. With appropriate transfer learning strategies and training protocols, high-performance automated inspection is achievable even for specialized applications with limited available samples.</w:t>
      </w:r>
    </w:p>
    <w:p>
      <w:pPr>
        <w:jc w:val="center"/>
      </w:pPr>
      <w:r>
        <w:rPr>
          <w:rFonts w:ascii="Times New Roman" w:hAnsi="Times New Roman"/>
          <w:b/>
          <w:sz w:val="20"/>
        </w:rPr>
        <w:t>REFERENCES</w:t>
      </w:r>
    </w:p>
    <w:p>
      <w:pPr>
        <w:jc w:val="both"/>
      </w:pPr>
      <w:r>
        <w:rPr>
          <w:rFonts w:ascii="Times New Roman" w:hAnsi="Times New Roman"/>
          <w:sz w:val="16"/>
        </w:rPr>
        <w:t>[1] Y. LeCun, Y. Bengio, and G. Hinton, "Deep learning," Nature, vol. 521, no. 7553, pp. 436-444, 2015.</w:t>
      </w:r>
    </w:p>
    <w:p>
      <w:pPr>
        <w:jc w:val="both"/>
      </w:pPr>
      <w:r>
        <w:rPr>
          <w:rFonts w:ascii="Times New Roman" w:hAnsi="Times New Roman"/>
          <w:sz w:val="16"/>
        </w:rPr>
        <w:t>[2] J. Deng et al., "ImageNet: A large-scale hierarchical image database," in Proc. IEEE CVPR, 2009, pp. 248-255.</w:t>
      </w:r>
    </w:p>
    <w:p>
      <w:pPr>
        <w:jc w:val="both"/>
      </w:pPr>
      <w:r>
        <w:rPr>
          <w:rFonts w:ascii="Times New Roman" w:hAnsi="Times New Roman"/>
          <w:sz w:val="16"/>
        </w:rPr>
        <w:t>[3] D. Weimer, B. Scholz-Reiter, and M. Shpitalni, "Design of deep convolutional neural network architectures for automated feature extraction in industrial inspection," CIRP Ann., vol. 65, no. 1, pp. 417-420, 2016.</w:t>
      </w:r>
    </w:p>
    <w:p>
      <w:pPr>
        <w:jc w:val="both"/>
      </w:pPr>
      <w:r>
        <w:rPr>
          <w:rFonts w:ascii="Times New Roman" w:hAnsi="Times New Roman"/>
          <w:sz w:val="16"/>
        </w:rPr>
        <w:t>[4] Z. Zou, K. Chen, Z. Shi, Y. Guo, and J. Ye, "Object detection in 20 years: A survey," Proc. IEEE, vol. 111, no. 3, pp. 257-276, 2023.</w:t>
      </w:r>
    </w:p>
    <w:p>
      <w:pPr>
        <w:jc w:val="both"/>
      </w:pPr>
      <w:r>
        <w:rPr>
          <w:rFonts w:ascii="Times New Roman" w:hAnsi="Times New Roman"/>
          <w:sz w:val="16"/>
        </w:rPr>
        <w:t>[5] J. Redmon, S. Divvala, R. Girshick, and A. Farhadi, "You only look once: Unified, real-time object detection," in Proc. IEEE CVPR, 2016, pp. 779-788.</w:t>
      </w:r>
    </w:p>
    <w:p>
      <w:pPr>
        <w:jc w:val="both"/>
      </w:pPr>
      <w:r>
        <w:rPr>
          <w:rFonts w:ascii="Times New Roman" w:hAnsi="Times New Roman"/>
          <w:sz w:val="16"/>
        </w:rPr>
        <w:t>[6] A. Bochkovskiy, C.-Y. Wang, and H.-Y. M. Liao, "YOLOv4: Optimal speed and accuracy of object detection," arXiv:2004.10934, 2020.</w:t>
      </w:r>
    </w:p>
    <w:p>
      <w:pPr>
        <w:jc w:val="both"/>
      </w:pPr>
      <w:r>
        <w:rPr>
          <w:rFonts w:ascii="Times New Roman" w:hAnsi="Times New Roman"/>
          <w:sz w:val="16"/>
        </w:rPr>
        <w:t>[7] G. Jocher, A. Chaurasia, and J. Qiu, "Ultralytics YOLOv8," https://github.com/ultralytics/ultralytics, 2023.</w:t>
      </w:r>
    </w:p>
    <w:p>
      <w:pPr>
        <w:jc w:val="both"/>
      </w:pPr>
      <w:r>
        <w:rPr>
          <w:rFonts w:ascii="Times New Roman" w:hAnsi="Times New Roman"/>
          <w:sz w:val="16"/>
        </w:rPr>
        <w:t>[8] G. Jocher and A. Chaurasia, "Ultralytics YOLO11," https://github.com/ultralytics/ultralytics, 2024.</w:t>
      </w:r>
    </w:p>
    <w:p>
      <w:pPr>
        <w:jc w:val="both"/>
      </w:pPr>
      <w:r>
        <w:rPr>
          <w:rFonts w:ascii="Times New Roman" w:hAnsi="Times New Roman"/>
          <w:sz w:val="16"/>
        </w:rPr>
        <w:t>[9] S. J. Pan and Q. Yang, "A survey on transfer learning," IEEE Trans. Knowl. Data Eng., vol. 22, no. 10, pp. 1345-1359, 2010.</w:t>
      </w:r>
    </w:p>
    <w:p>
      <w:pPr>
        <w:jc w:val="both"/>
      </w:pPr>
      <w:r>
        <w:rPr>
          <w:rFonts w:ascii="Times New Roman" w:hAnsi="Times New Roman"/>
          <w:sz w:val="16"/>
        </w:rPr>
        <w:t>[10] J. Donahue et al., "DeCAF: A deep convolutional activation feature for generic visual recognition," in Proc. ICML, 2014, pp. 647-655.</w:t>
      </w:r>
    </w:p>
    <w:p>
      <w:pPr>
        <w:jc w:val="both"/>
      </w:pPr>
      <w:r>
        <w:rPr>
          <w:rFonts w:ascii="Times New Roman" w:hAnsi="Times New Roman"/>
          <w:sz w:val="16"/>
        </w:rPr>
        <w:t>[11] A. S. Razavian, H. Azizpour, J. Sullivan, and S. Carlsson, "CNN features off-the-shelf: An astounding baseline for recognition," in Proc. IEEE CVPRW, 2014, pp. 512-519.</w:t>
      </w:r>
    </w:p>
    <w:p>
      <w:pPr>
        <w:jc w:val="both"/>
      </w:pPr>
      <w:r>
        <w:rPr>
          <w:rFonts w:ascii="Times New Roman" w:hAnsi="Times New Roman"/>
          <w:sz w:val="16"/>
        </w:rPr>
        <w:t>[12] J. Yosinski, J. Clune, Y. Bengio, and H. Lipson, "How transferable are features in deep neural networks?" in Proc. NeurIPS, 2014, pp. 3320-3328.</w:t>
      </w:r>
    </w:p>
    <w:p>
      <w:pPr>
        <w:jc w:val="both"/>
      </w:pPr>
      <w:r>
        <w:rPr>
          <w:rFonts w:ascii="Times New Roman" w:hAnsi="Times New Roman"/>
          <w:sz w:val="16"/>
        </w:rPr>
        <w:t>[13] C. Shorten and T. M. Khoshgoftaar, "A survey on image data augmentation for deep learning," J. Big Data, vol. 6, no. 1, p. 60, 2019.</w:t>
      </w:r>
    </w:p>
    <w:p>
      <w:pPr>
        <w:jc w:val="both"/>
      </w:pPr>
      <w:r>
        <w:rPr>
          <w:rFonts w:ascii="Times New Roman" w:hAnsi="Times New Roman"/>
          <w:sz w:val="16"/>
        </w:rPr>
        <w:t>[14] O. Vinyals, C. Blundell, T. Lillicrap, K. Kavukcuoglu, and D. Wierstra, "Matching networks for one shot learning," in Proc. NeurIPS, 2016, pp. 3630-3638.</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