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58FEC" w14:textId="587CB164" w:rsidR="00F627B0" w:rsidRDefault="00AC63C1">
      <w:r>
        <w:t>Financial Projections:</w:t>
      </w:r>
    </w:p>
    <w:p w14:paraId="7F1B078C" w14:textId="77777777" w:rsidR="00AC63C1" w:rsidRDefault="00AC63C1"/>
    <w:p w14:paraId="624FEE52" w14:textId="456D4751" w:rsidR="00AC63C1" w:rsidRDefault="00AC63C1">
      <w:r>
        <w:t>*Bigfoot Social plans to operate as lean and as efficiently as possible, with a small expert team delivering on AI, infrastructure, and marketing.</w:t>
      </w:r>
    </w:p>
    <w:p w14:paraId="536099D2" w14:textId="77777777" w:rsidR="00AC63C1" w:rsidRDefault="00AC63C1"/>
    <w:p w14:paraId="7E835EE1" w14:textId="13FFC4EA" w:rsidR="00AC63C1" w:rsidRPr="00AC63C1" w:rsidRDefault="00AC63C1">
      <w:pPr>
        <w:rPr>
          <w:b/>
          <w:bCs/>
        </w:rPr>
      </w:pPr>
      <w:r w:rsidRPr="00AC63C1">
        <w:rPr>
          <w:b/>
          <w:bCs/>
        </w:rPr>
        <w:t xml:space="preserve">Revenue Forecast: </w:t>
      </w:r>
    </w:p>
    <w:tbl>
      <w:tblPr>
        <w:tblStyle w:val="TableGrid"/>
        <w:tblW w:w="0" w:type="auto"/>
        <w:tblLook w:val="04A0" w:firstRow="1" w:lastRow="0" w:firstColumn="1" w:lastColumn="0" w:noHBand="0" w:noVBand="1"/>
      </w:tblPr>
      <w:tblGrid>
        <w:gridCol w:w="3116"/>
        <w:gridCol w:w="3117"/>
        <w:gridCol w:w="3117"/>
      </w:tblGrid>
      <w:tr w:rsidR="00AC63C1" w14:paraId="7142CFDB" w14:textId="77777777" w:rsidTr="00AC63C1">
        <w:tc>
          <w:tcPr>
            <w:tcW w:w="3116" w:type="dxa"/>
          </w:tcPr>
          <w:p w14:paraId="4BD895C0" w14:textId="1A7D6B9A" w:rsidR="00AC63C1" w:rsidRPr="00AC63C1" w:rsidRDefault="00AC63C1" w:rsidP="00AC63C1">
            <w:pPr>
              <w:jc w:val="center"/>
              <w:rPr>
                <w:b/>
                <w:bCs/>
              </w:rPr>
            </w:pPr>
            <w:r w:rsidRPr="00AC63C1">
              <w:rPr>
                <w:b/>
                <w:bCs/>
              </w:rPr>
              <w:t>2024</w:t>
            </w:r>
          </w:p>
        </w:tc>
        <w:tc>
          <w:tcPr>
            <w:tcW w:w="3117" w:type="dxa"/>
          </w:tcPr>
          <w:p w14:paraId="4EF5C935" w14:textId="1F80A98A" w:rsidR="00AC63C1" w:rsidRPr="00AC63C1" w:rsidRDefault="00AC63C1" w:rsidP="00AC63C1">
            <w:pPr>
              <w:jc w:val="center"/>
              <w:rPr>
                <w:b/>
                <w:bCs/>
              </w:rPr>
            </w:pPr>
            <w:r w:rsidRPr="00AC63C1">
              <w:rPr>
                <w:b/>
                <w:bCs/>
              </w:rPr>
              <w:t>2025</w:t>
            </w:r>
          </w:p>
        </w:tc>
        <w:tc>
          <w:tcPr>
            <w:tcW w:w="3117" w:type="dxa"/>
          </w:tcPr>
          <w:p w14:paraId="4634C3A8" w14:textId="0A394F58" w:rsidR="00AC63C1" w:rsidRPr="00AC63C1" w:rsidRDefault="00AC63C1" w:rsidP="00AC63C1">
            <w:pPr>
              <w:jc w:val="center"/>
              <w:rPr>
                <w:b/>
                <w:bCs/>
              </w:rPr>
            </w:pPr>
            <w:r w:rsidRPr="00AC63C1">
              <w:rPr>
                <w:b/>
                <w:bCs/>
              </w:rPr>
              <w:t>2026</w:t>
            </w:r>
          </w:p>
        </w:tc>
      </w:tr>
      <w:tr w:rsidR="00AC63C1" w14:paraId="295942CC" w14:textId="77777777" w:rsidTr="00AC63C1">
        <w:tc>
          <w:tcPr>
            <w:tcW w:w="3116" w:type="dxa"/>
          </w:tcPr>
          <w:p w14:paraId="2B2CFDDE" w14:textId="52B7630F" w:rsidR="00AC63C1" w:rsidRDefault="00AC63C1" w:rsidP="00AC63C1">
            <w:pPr>
              <w:jc w:val="center"/>
            </w:pPr>
            <w:r>
              <w:t>$10,000</w:t>
            </w:r>
          </w:p>
        </w:tc>
        <w:tc>
          <w:tcPr>
            <w:tcW w:w="3117" w:type="dxa"/>
          </w:tcPr>
          <w:p w14:paraId="78140A7B" w14:textId="20ED92F4" w:rsidR="00AC63C1" w:rsidRDefault="00AC63C1" w:rsidP="00AC63C1">
            <w:pPr>
              <w:jc w:val="center"/>
            </w:pPr>
            <w:r>
              <w:t>$100,000</w:t>
            </w:r>
          </w:p>
        </w:tc>
        <w:tc>
          <w:tcPr>
            <w:tcW w:w="3117" w:type="dxa"/>
          </w:tcPr>
          <w:p w14:paraId="33E312E9" w14:textId="151D5BAE" w:rsidR="00AC63C1" w:rsidRDefault="00AC63C1" w:rsidP="00AC63C1">
            <w:pPr>
              <w:jc w:val="center"/>
            </w:pPr>
            <w:r>
              <w:t>$300,000</w:t>
            </w:r>
          </w:p>
        </w:tc>
      </w:tr>
    </w:tbl>
    <w:p w14:paraId="5877E34D" w14:textId="77777777" w:rsidR="00AC63C1" w:rsidRDefault="00AC63C1"/>
    <w:p w14:paraId="3258A2A4" w14:textId="20CDFAA7" w:rsidR="00AC63C1" w:rsidRDefault="00AC63C1">
      <w:r>
        <w:t>2024:</w:t>
      </w:r>
    </w:p>
    <w:p w14:paraId="5F7D8B5E" w14:textId="679DF8A4" w:rsidR="00AC63C1" w:rsidRDefault="00AC63C1">
      <w:r>
        <w:t xml:space="preserve">We plan on building Bigfoot Social in 2024. We hope to roll out a beta in around a month and begin getting customers in late October. We hope to see $10,000 in revenue from a combination of paid users and revenue we generate from our own testing of the platform. </w:t>
      </w:r>
    </w:p>
    <w:p w14:paraId="6D06FE15" w14:textId="6E8E488B" w:rsidR="00AC63C1" w:rsidRDefault="00AC63C1">
      <w:r>
        <w:t>2025:</w:t>
      </w:r>
    </w:p>
    <w:p w14:paraId="1357B0B9" w14:textId="1F123463" w:rsidR="00AC63C1" w:rsidRDefault="00AC63C1">
      <w:r>
        <w:t>We plan to scale up and market the solution to our wider audience to achieve this higher revenue. We also aim to have our solution in our own productions to help us produce content at an accelerated rate.</w:t>
      </w:r>
    </w:p>
    <w:p w14:paraId="36960C83" w14:textId="1908B941" w:rsidR="00AC63C1" w:rsidRDefault="00AC63C1">
      <w:r>
        <w:t xml:space="preserve">2026: </w:t>
      </w:r>
    </w:p>
    <w:p w14:paraId="65BF19C9" w14:textId="04DB8899" w:rsidR="00AC63C1" w:rsidRDefault="00AC63C1">
      <w:r>
        <w:t>We plan on collecting our algorithm inputs and outputs to begin building a quantitative trading model based on our real-time data. If this initiative works, we hope to add revenue from trading profits, in addition to user sales and our content ad revenue.</w:t>
      </w:r>
    </w:p>
    <w:p w14:paraId="1EB62FBC" w14:textId="77777777" w:rsidR="00AC63C1" w:rsidRDefault="00AC63C1"/>
    <w:p w14:paraId="16EF9151" w14:textId="77777777" w:rsidR="007442B9" w:rsidRDefault="007442B9" w:rsidP="00AC63C1">
      <w:pPr>
        <w:rPr>
          <w:b/>
          <w:bCs/>
        </w:rPr>
      </w:pPr>
    </w:p>
    <w:p w14:paraId="34DC6709" w14:textId="77777777" w:rsidR="007442B9" w:rsidRDefault="007442B9" w:rsidP="00AC63C1">
      <w:pPr>
        <w:rPr>
          <w:b/>
          <w:bCs/>
        </w:rPr>
      </w:pPr>
    </w:p>
    <w:p w14:paraId="1BA17855" w14:textId="77777777" w:rsidR="007442B9" w:rsidRDefault="007442B9" w:rsidP="00AC63C1">
      <w:pPr>
        <w:rPr>
          <w:b/>
          <w:bCs/>
        </w:rPr>
      </w:pPr>
    </w:p>
    <w:p w14:paraId="29741B70" w14:textId="77777777" w:rsidR="007442B9" w:rsidRDefault="007442B9" w:rsidP="00AC63C1">
      <w:pPr>
        <w:rPr>
          <w:b/>
          <w:bCs/>
        </w:rPr>
      </w:pPr>
    </w:p>
    <w:p w14:paraId="438A9F68" w14:textId="77777777" w:rsidR="007442B9" w:rsidRDefault="007442B9" w:rsidP="00AC63C1">
      <w:pPr>
        <w:rPr>
          <w:b/>
          <w:bCs/>
        </w:rPr>
      </w:pPr>
    </w:p>
    <w:p w14:paraId="2B892251" w14:textId="77777777" w:rsidR="007442B9" w:rsidRDefault="007442B9" w:rsidP="00AC63C1">
      <w:pPr>
        <w:rPr>
          <w:b/>
          <w:bCs/>
        </w:rPr>
      </w:pPr>
    </w:p>
    <w:p w14:paraId="719BB319" w14:textId="77777777" w:rsidR="007442B9" w:rsidRDefault="007442B9" w:rsidP="00AC63C1">
      <w:pPr>
        <w:rPr>
          <w:b/>
          <w:bCs/>
        </w:rPr>
      </w:pPr>
    </w:p>
    <w:p w14:paraId="20216DF1" w14:textId="77777777" w:rsidR="007442B9" w:rsidRDefault="007442B9" w:rsidP="00AC63C1">
      <w:pPr>
        <w:rPr>
          <w:b/>
          <w:bCs/>
        </w:rPr>
      </w:pPr>
    </w:p>
    <w:p w14:paraId="76E6106F" w14:textId="77777777" w:rsidR="007442B9" w:rsidRDefault="007442B9" w:rsidP="00AC63C1">
      <w:pPr>
        <w:rPr>
          <w:b/>
          <w:bCs/>
        </w:rPr>
      </w:pPr>
    </w:p>
    <w:p w14:paraId="7EB6FE8C" w14:textId="77777777" w:rsidR="007442B9" w:rsidRDefault="007442B9" w:rsidP="00AC63C1">
      <w:pPr>
        <w:rPr>
          <w:b/>
          <w:bCs/>
        </w:rPr>
      </w:pPr>
    </w:p>
    <w:p w14:paraId="18A96DE9" w14:textId="77777777" w:rsidR="007442B9" w:rsidRDefault="007442B9" w:rsidP="00AC63C1">
      <w:pPr>
        <w:rPr>
          <w:b/>
          <w:bCs/>
        </w:rPr>
      </w:pPr>
    </w:p>
    <w:p w14:paraId="65EBDBE4" w14:textId="4D503260" w:rsidR="00AC63C1" w:rsidRPr="00AC63C1" w:rsidRDefault="00AC63C1" w:rsidP="00AC63C1">
      <w:pPr>
        <w:rPr>
          <w:b/>
          <w:bCs/>
        </w:rPr>
      </w:pPr>
      <w:r>
        <w:rPr>
          <w:b/>
          <w:bCs/>
        </w:rPr>
        <w:lastRenderedPageBreak/>
        <w:t>Funding Requirements Forecast</w:t>
      </w:r>
      <w:r w:rsidRPr="00AC63C1">
        <w:rPr>
          <w:b/>
          <w:bCs/>
        </w:rPr>
        <w:t xml:space="preserve">: </w:t>
      </w:r>
    </w:p>
    <w:tbl>
      <w:tblPr>
        <w:tblStyle w:val="TableGrid"/>
        <w:tblW w:w="0" w:type="auto"/>
        <w:tblLook w:val="04A0" w:firstRow="1" w:lastRow="0" w:firstColumn="1" w:lastColumn="0" w:noHBand="0" w:noVBand="1"/>
      </w:tblPr>
      <w:tblGrid>
        <w:gridCol w:w="3116"/>
        <w:gridCol w:w="3117"/>
        <w:gridCol w:w="3117"/>
      </w:tblGrid>
      <w:tr w:rsidR="00AC63C1" w14:paraId="653DAC48" w14:textId="77777777" w:rsidTr="00FD7E92">
        <w:tc>
          <w:tcPr>
            <w:tcW w:w="3116" w:type="dxa"/>
          </w:tcPr>
          <w:p w14:paraId="245FA7C0" w14:textId="77777777" w:rsidR="00AC63C1" w:rsidRPr="00AC63C1" w:rsidRDefault="00AC63C1" w:rsidP="00FD7E92">
            <w:pPr>
              <w:jc w:val="center"/>
              <w:rPr>
                <w:b/>
                <w:bCs/>
              </w:rPr>
            </w:pPr>
            <w:r w:rsidRPr="00AC63C1">
              <w:rPr>
                <w:b/>
                <w:bCs/>
              </w:rPr>
              <w:t>2024</w:t>
            </w:r>
          </w:p>
        </w:tc>
        <w:tc>
          <w:tcPr>
            <w:tcW w:w="3117" w:type="dxa"/>
          </w:tcPr>
          <w:p w14:paraId="04B33623" w14:textId="77777777" w:rsidR="00AC63C1" w:rsidRPr="00AC63C1" w:rsidRDefault="00AC63C1" w:rsidP="00FD7E92">
            <w:pPr>
              <w:jc w:val="center"/>
              <w:rPr>
                <w:b/>
                <w:bCs/>
              </w:rPr>
            </w:pPr>
            <w:r w:rsidRPr="00AC63C1">
              <w:rPr>
                <w:b/>
                <w:bCs/>
              </w:rPr>
              <w:t>2025</w:t>
            </w:r>
          </w:p>
        </w:tc>
        <w:tc>
          <w:tcPr>
            <w:tcW w:w="3117" w:type="dxa"/>
          </w:tcPr>
          <w:p w14:paraId="6A3097D5" w14:textId="77777777" w:rsidR="00AC63C1" w:rsidRPr="00AC63C1" w:rsidRDefault="00AC63C1" w:rsidP="00FD7E92">
            <w:pPr>
              <w:jc w:val="center"/>
              <w:rPr>
                <w:b/>
                <w:bCs/>
              </w:rPr>
            </w:pPr>
            <w:r w:rsidRPr="00AC63C1">
              <w:rPr>
                <w:b/>
                <w:bCs/>
              </w:rPr>
              <w:t>2026</w:t>
            </w:r>
          </w:p>
        </w:tc>
      </w:tr>
      <w:tr w:rsidR="00AC63C1" w14:paraId="214216D4" w14:textId="77777777" w:rsidTr="00FD7E92">
        <w:tc>
          <w:tcPr>
            <w:tcW w:w="3116" w:type="dxa"/>
          </w:tcPr>
          <w:p w14:paraId="0A072133" w14:textId="017E0719" w:rsidR="00AC63C1" w:rsidRDefault="00AC63C1" w:rsidP="00FD7E92">
            <w:pPr>
              <w:jc w:val="center"/>
            </w:pPr>
            <w:r>
              <w:t>$</w:t>
            </w:r>
            <w:r>
              <w:t>40,000</w:t>
            </w:r>
          </w:p>
        </w:tc>
        <w:tc>
          <w:tcPr>
            <w:tcW w:w="3117" w:type="dxa"/>
          </w:tcPr>
          <w:p w14:paraId="4E91493D" w14:textId="4BC323B0" w:rsidR="00AC63C1" w:rsidRDefault="00AC63C1" w:rsidP="00FD7E92">
            <w:pPr>
              <w:jc w:val="center"/>
            </w:pPr>
            <w:r>
              <w:t>$</w:t>
            </w:r>
            <w:r>
              <w:t>75,000</w:t>
            </w:r>
          </w:p>
        </w:tc>
        <w:tc>
          <w:tcPr>
            <w:tcW w:w="3117" w:type="dxa"/>
          </w:tcPr>
          <w:p w14:paraId="36B38D57" w14:textId="5777D243" w:rsidR="00AC63C1" w:rsidRDefault="00AC63C1" w:rsidP="00FD7E92">
            <w:pPr>
              <w:jc w:val="center"/>
            </w:pPr>
            <w:r>
              <w:t>$</w:t>
            </w:r>
            <w:r>
              <w:t>100,000</w:t>
            </w:r>
          </w:p>
        </w:tc>
      </w:tr>
    </w:tbl>
    <w:p w14:paraId="7F727CC8" w14:textId="77777777" w:rsidR="00AC63C1" w:rsidRDefault="00AC63C1" w:rsidP="00AC63C1"/>
    <w:p w14:paraId="662A0694" w14:textId="77777777" w:rsidR="00AC63C1" w:rsidRDefault="00AC63C1" w:rsidP="00AC63C1">
      <w:r>
        <w:t>2024:</w:t>
      </w:r>
    </w:p>
    <w:p w14:paraId="754B5AC4" w14:textId="6AFD4FD6" w:rsidR="00AC63C1" w:rsidRDefault="00AC63C1" w:rsidP="00AC63C1">
      <w:r>
        <w:t xml:space="preserve">We will initially need front-end development support and cloud resources to further fine-tune our model and serve our model to users. An EKS cluster sufficient for running the model costs around $1,000 a month and a </w:t>
      </w:r>
      <w:proofErr w:type="gramStart"/>
      <w:r>
        <w:t>frontend</w:t>
      </w:r>
      <w:proofErr w:type="gramEnd"/>
      <w:r>
        <w:t xml:space="preserve"> contractor will cost</w:t>
      </w:r>
      <w:r w:rsidR="007442B9">
        <w:t xml:space="preserve"> around $36,000 for the work, based on current rates.</w:t>
      </w:r>
    </w:p>
    <w:p w14:paraId="66E60CD5" w14:textId="77777777" w:rsidR="00AC63C1" w:rsidRDefault="00AC63C1" w:rsidP="00AC63C1">
      <w:r>
        <w:t>2025:</w:t>
      </w:r>
    </w:p>
    <w:p w14:paraId="22873C7E" w14:textId="4A5847B5" w:rsidR="00AC63C1" w:rsidRDefault="00AC63C1" w:rsidP="00AC63C1">
      <w:r>
        <w:t xml:space="preserve">We </w:t>
      </w:r>
      <w:r w:rsidR="007442B9">
        <w:t xml:space="preserve">will need to invest more into marketing with paid ads, partnerships, etc. We would spend around $30,000 </w:t>
      </w:r>
      <w:proofErr w:type="gramStart"/>
      <w:r w:rsidR="007442B9">
        <w:t>in</w:t>
      </w:r>
      <w:proofErr w:type="gramEnd"/>
      <w:r w:rsidR="007442B9">
        <w:t xml:space="preserve"> various marketing endeavors. Development costs are likely to increase as well as we scale up and build new tools based on customer feedback. We anticipate needing $40,000 to maintain the product and the hosting.</w:t>
      </w:r>
    </w:p>
    <w:p w14:paraId="625A8A0B" w14:textId="32FAB143" w:rsidR="00AC63C1" w:rsidRDefault="00AC63C1" w:rsidP="00AC63C1">
      <w:r>
        <w:t xml:space="preserve">2026: </w:t>
      </w:r>
    </w:p>
    <w:p w14:paraId="539C030F" w14:textId="326D1EDA" w:rsidR="007442B9" w:rsidRDefault="007442B9" w:rsidP="00AC63C1">
      <w:r>
        <w:t xml:space="preserve">By this time, we will seek to maintain the $40,000 in maintenance. By now, we would like to have $60,000 as starting capital to test our social media-informed factor fund/quant model (pending successful </w:t>
      </w:r>
      <w:proofErr w:type="spellStart"/>
      <w:r>
        <w:t>backtesting</w:t>
      </w:r>
      <w:proofErr w:type="spellEnd"/>
      <w:r>
        <w:t>).</w:t>
      </w:r>
    </w:p>
    <w:p w14:paraId="33A7DD3D" w14:textId="77777777" w:rsidR="007442B9" w:rsidRDefault="007442B9" w:rsidP="00AC63C1"/>
    <w:p w14:paraId="3ED659EC" w14:textId="3C394C10" w:rsidR="007442B9" w:rsidRPr="00AC63C1" w:rsidRDefault="007442B9" w:rsidP="007442B9">
      <w:pPr>
        <w:rPr>
          <w:b/>
          <w:bCs/>
        </w:rPr>
      </w:pPr>
      <w:r>
        <w:rPr>
          <w:b/>
          <w:bCs/>
        </w:rPr>
        <w:t xml:space="preserve">Expected </w:t>
      </w:r>
      <w:proofErr w:type="spellStart"/>
      <w:r>
        <w:rPr>
          <w:b/>
          <w:bCs/>
        </w:rPr>
        <w:t>RoI</w:t>
      </w:r>
      <w:proofErr w:type="spellEnd"/>
      <w:r w:rsidRPr="00AC63C1">
        <w:rPr>
          <w:b/>
          <w:bCs/>
        </w:rPr>
        <w:t xml:space="preserve">: </w:t>
      </w:r>
    </w:p>
    <w:tbl>
      <w:tblPr>
        <w:tblStyle w:val="TableGrid"/>
        <w:tblW w:w="0" w:type="auto"/>
        <w:tblLook w:val="04A0" w:firstRow="1" w:lastRow="0" w:firstColumn="1" w:lastColumn="0" w:noHBand="0" w:noVBand="1"/>
      </w:tblPr>
      <w:tblGrid>
        <w:gridCol w:w="1311"/>
        <w:gridCol w:w="1759"/>
        <w:gridCol w:w="1829"/>
        <w:gridCol w:w="1829"/>
      </w:tblGrid>
      <w:tr w:rsidR="007442B9" w14:paraId="5F1BC17E" w14:textId="77777777" w:rsidTr="007442B9">
        <w:tc>
          <w:tcPr>
            <w:tcW w:w="1311" w:type="dxa"/>
          </w:tcPr>
          <w:p w14:paraId="795A983E" w14:textId="77777777" w:rsidR="007442B9" w:rsidRPr="00AC63C1" w:rsidRDefault="007442B9" w:rsidP="00FD7E92">
            <w:pPr>
              <w:jc w:val="center"/>
              <w:rPr>
                <w:b/>
                <w:bCs/>
              </w:rPr>
            </w:pPr>
          </w:p>
        </w:tc>
        <w:tc>
          <w:tcPr>
            <w:tcW w:w="1759" w:type="dxa"/>
          </w:tcPr>
          <w:p w14:paraId="4044980A" w14:textId="76E6BBEE" w:rsidR="007442B9" w:rsidRPr="00AC63C1" w:rsidRDefault="007442B9" w:rsidP="00FD7E92">
            <w:pPr>
              <w:jc w:val="center"/>
              <w:rPr>
                <w:b/>
                <w:bCs/>
              </w:rPr>
            </w:pPr>
            <w:r w:rsidRPr="00AC63C1">
              <w:rPr>
                <w:b/>
                <w:bCs/>
              </w:rPr>
              <w:t>2024</w:t>
            </w:r>
          </w:p>
        </w:tc>
        <w:tc>
          <w:tcPr>
            <w:tcW w:w="1829" w:type="dxa"/>
          </w:tcPr>
          <w:p w14:paraId="2289814A" w14:textId="77777777" w:rsidR="007442B9" w:rsidRPr="00AC63C1" w:rsidRDefault="007442B9" w:rsidP="00FD7E92">
            <w:pPr>
              <w:jc w:val="center"/>
              <w:rPr>
                <w:b/>
                <w:bCs/>
              </w:rPr>
            </w:pPr>
            <w:r w:rsidRPr="00AC63C1">
              <w:rPr>
                <w:b/>
                <w:bCs/>
              </w:rPr>
              <w:t>2025</w:t>
            </w:r>
          </w:p>
        </w:tc>
        <w:tc>
          <w:tcPr>
            <w:tcW w:w="1829" w:type="dxa"/>
          </w:tcPr>
          <w:p w14:paraId="1031BC91" w14:textId="77777777" w:rsidR="007442B9" w:rsidRPr="00AC63C1" w:rsidRDefault="007442B9" w:rsidP="00FD7E92">
            <w:pPr>
              <w:jc w:val="center"/>
              <w:rPr>
                <w:b/>
                <w:bCs/>
              </w:rPr>
            </w:pPr>
            <w:r w:rsidRPr="00AC63C1">
              <w:rPr>
                <w:b/>
                <w:bCs/>
              </w:rPr>
              <w:t>2026</w:t>
            </w:r>
          </w:p>
        </w:tc>
      </w:tr>
      <w:tr w:rsidR="007442B9" w14:paraId="77CF6BB2" w14:textId="77777777" w:rsidTr="007442B9">
        <w:tc>
          <w:tcPr>
            <w:tcW w:w="1311" w:type="dxa"/>
          </w:tcPr>
          <w:p w14:paraId="2A55FE2F" w14:textId="63AE2ABE" w:rsidR="007442B9" w:rsidRDefault="007442B9" w:rsidP="00FD7E92">
            <w:pPr>
              <w:jc w:val="center"/>
            </w:pPr>
            <w:r>
              <w:t>Investment</w:t>
            </w:r>
          </w:p>
        </w:tc>
        <w:tc>
          <w:tcPr>
            <w:tcW w:w="1759" w:type="dxa"/>
          </w:tcPr>
          <w:p w14:paraId="46DAEF2A" w14:textId="2CC3AE39" w:rsidR="007442B9" w:rsidRDefault="007442B9" w:rsidP="00FD7E92">
            <w:pPr>
              <w:jc w:val="center"/>
            </w:pPr>
            <w:r>
              <w:t>$</w:t>
            </w:r>
            <w:r>
              <w:t>40</w:t>
            </w:r>
            <w:r>
              <w:t>,000</w:t>
            </w:r>
          </w:p>
        </w:tc>
        <w:tc>
          <w:tcPr>
            <w:tcW w:w="1829" w:type="dxa"/>
          </w:tcPr>
          <w:p w14:paraId="581609C7" w14:textId="39B7868E" w:rsidR="007442B9" w:rsidRDefault="007442B9" w:rsidP="00FD7E92">
            <w:pPr>
              <w:jc w:val="center"/>
            </w:pPr>
            <w:r>
              <w:t>$</w:t>
            </w:r>
            <w:r>
              <w:t>75</w:t>
            </w:r>
            <w:r>
              <w:t>,000</w:t>
            </w:r>
          </w:p>
        </w:tc>
        <w:tc>
          <w:tcPr>
            <w:tcW w:w="1829" w:type="dxa"/>
          </w:tcPr>
          <w:p w14:paraId="60820A3B" w14:textId="50E3CE63" w:rsidR="007442B9" w:rsidRDefault="007442B9" w:rsidP="00FD7E92">
            <w:pPr>
              <w:jc w:val="center"/>
            </w:pPr>
            <w:r>
              <w:t>$</w:t>
            </w:r>
            <w:r>
              <w:t>1</w:t>
            </w:r>
            <w:r>
              <w:t>00,000</w:t>
            </w:r>
          </w:p>
        </w:tc>
      </w:tr>
      <w:tr w:rsidR="007442B9" w14:paraId="243AE9E3" w14:textId="77777777" w:rsidTr="007442B9">
        <w:tc>
          <w:tcPr>
            <w:tcW w:w="1311" w:type="dxa"/>
          </w:tcPr>
          <w:p w14:paraId="7F5062F6" w14:textId="77157E17" w:rsidR="007442B9" w:rsidRDefault="007442B9" w:rsidP="00FD7E92">
            <w:pPr>
              <w:jc w:val="center"/>
            </w:pPr>
            <w:r>
              <w:t>Revenue</w:t>
            </w:r>
          </w:p>
        </w:tc>
        <w:tc>
          <w:tcPr>
            <w:tcW w:w="1759" w:type="dxa"/>
          </w:tcPr>
          <w:p w14:paraId="599F37AB" w14:textId="5BE49D76" w:rsidR="007442B9" w:rsidRDefault="007442B9" w:rsidP="00FD7E92">
            <w:pPr>
              <w:jc w:val="center"/>
            </w:pPr>
            <w:r>
              <w:t>$10,000</w:t>
            </w:r>
          </w:p>
        </w:tc>
        <w:tc>
          <w:tcPr>
            <w:tcW w:w="1829" w:type="dxa"/>
          </w:tcPr>
          <w:p w14:paraId="4C277D47" w14:textId="5B000D51" w:rsidR="007442B9" w:rsidRDefault="007442B9" w:rsidP="00FD7E92">
            <w:pPr>
              <w:jc w:val="center"/>
            </w:pPr>
            <w:r>
              <w:t>$100,000</w:t>
            </w:r>
          </w:p>
        </w:tc>
        <w:tc>
          <w:tcPr>
            <w:tcW w:w="1829" w:type="dxa"/>
          </w:tcPr>
          <w:p w14:paraId="21FDE4B0" w14:textId="2059D326" w:rsidR="007442B9" w:rsidRDefault="007442B9" w:rsidP="00FD7E92">
            <w:pPr>
              <w:jc w:val="center"/>
            </w:pPr>
            <w:r>
              <w:t>$300,000</w:t>
            </w:r>
          </w:p>
        </w:tc>
      </w:tr>
      <w:tr w:rsidR="007442B9" w14:paraId="5482BC6A" w14:textId="77777777" w:rsidTr="007442B9">
        <w:tc>
          <w:tcPr>
            <w:tcW w:w="1311" w:type="dxa"/>
          </w:tcPr>
          <w:p w14:paraId="24033F5F" w14:textId="72C3A73A" w:rsidR="007442B9" w:rsidRDefault="007442B9" w:rsidP="00FD7E92">
            <w:pPr>
              <w:jc w:val="center"/>
            </w:pPr>
            <w:proofErr w:type="spellStart"/>
            <w:r>
              <w:t>RoI</w:t>
            </w:r>
            <w:proofErr w:type="spellEnd"/>
          </w:p>
        </w:tc>
        <w:tc>
          <w:tcPr>
            <w:tcW w:w="1759" w:type="dxa"/>
          </w:tcPr>
          <w:p w14:paraId="032B7AEA" w14:textId="60F97907" w:rsidR="007442B9" w:rsidRDefault="007442B9" w:rsidP="00FD7E92">
            <w:pPr>
              <w:jc w:val="center"/>
            </w:pPr>
            <w:r>
              <w:t>-75%</w:t>
            </w:r>
          </w:p>
        </w:tc>
        <w:tc>
          <w:tcPr>
            <w:tcW w:w="1829" w:type="dxa"/>
          </w:tcPr>
          <w:p w14:paraId="3617277E" w14:textId="31F5B713" w:rsidR="007442B9" w:rsidRDefault="007442B9" w:rsidP="00FD7E92">
            <w:pPr>
              <w:jc w:val="center"/>
            </w:pPr>
            <w:r>
              <w:t>33%</w:t>
            </w:r>
          </w:p>
        </w:tc>
        <w:tc>
          <w:tcPr>
            <w:tcW w:w="1829" w:type="dxa"/>
          </w:tcPr>
          <w:p w14:paraId="3152E75E" w14:textId="10C22B36" w:rsidR="007442B9" w:rsidRDefault="007442B9" w:rsidP="00FD7E92">
            <w:pPr>
              <w:jc w:val="center"/>
            </w:pPr>
            <w:r>
              <w:t>200%</w:t>
            </w:r>
          </w:p>
        </w:tc>
      </w:tr>
    </w:tbl>
    <w:p w14:paraId="6B638BF0" w14:textId="77777777" w:rsidR="007442B9" w:rsidRDefault="007442B9" w:rsidP="007442B9"/>
    <w:p w14:paraId="64FC7530" w14:textId="77777777" w:rsidR="007442B9" w:rsidRDefault="007442B9" w:rsidP="007442B9">
      <w:r>
        <w:t>2024:</w:t>
      </w:r>
    </w:p>
    <w:p w14:paraId="4428AE25" w14:textId="5712D76E" w:rsidR="007442B9" w:rsidRDefault="007442B9" w:rsidP="007442B9">
      <w:r>
        <w:t>The first year we will have to invest in the platform. We will most likely see a negative return in the first year.</w:t>
      </w:r>
    </w:p>
    <w:p w14:paraId="67AD9702" w14:textId="77777777" w:rsidR="007442B9" w:rsidRDefault="007442B9" w:rsidP="007442B9">
      <w:r>
        <w:t>2025:</w:t>
      </w:r>
    </w:p>
    <w:p w14:paraId="09871234" w14:textId="0ECA70EF" w:rsidR="007442B9" w:rsidRDefault="007442B9" w:rsidP="007442B9">
      <w:r>
        <w:t xml:space="preserve">When solidified, and with potentially </w:t>
      </w:r>
      <w:proofErr w:type="gramStart"/>
      <w:r>
        <w:t>an</w:t>
      </w:r>
      <w:proofErr w:type="gramEnd"/>
      <w:r>
        <w:t xml:space="preserve"> stabler MRR, we seek a target of 33% </w:t>
      </w:r>
      <w:proofErr w:type="spellStart"/>
      <w:r>
        <w:t>RoI</w:t>
      </w:r>
      <w:proofErr w:type="spellEnd"/>
      <w:r>
        <w:t xml:space="preserve"> for 2025.</w:t>
      </w:r>
    </w:p>
    <w:p w14:paraId="1DD20CA4" w14:textId="77777777" w:rsidR="007442B9" w:rsidRDefault="007442B9" w:rsidP="007442B9">
      <w:r>
        <w:t xml:space="preserve">2026: </w:t>
      </w:r>
    </w:p>
    <w:p w14:paraId="1E3BA873" w14:textId="2F4236EA" w:rsidR="007442B9" w:rsidRDefault="007442B9" w:rsidP="007442B9">
      <w:r>
        <w:t xml:space="preserve">If we can maintain production and maintenance costs, and if our trading algorithm works, we hope to see a 200% </w:t>
      </w:r>
      <w:proofErr w:type="spellStart"/>
      <w:r>
        <w:t>RoI</w:t>
      </w:r>
      <w:proofErr w:type="spellEnd"/>
      <w:r>
        <w:t xml:space="preserve"> for the 2026 year.</w:t>
      </w:r>
    </w:p>
    <w:p w14:paraId="11CB49AE" w14:textId="77777777" w:rsidR="007442B9" w:rsidRDefault="007442B9" w:rsidP="00AC63C1"/>
    <w:p w14:paraId="039EB94D" w14:textId="77777777" w:rsidR="007442B9" w:rsidRDefault="007442B9" w:rsidP="00AC63C1"/>
    <w:p w14:paraId="7962FF5F" w14:textId="77777777" w:rsidR="00AC63C1" w:rsidRDefault="00AC63C1"/>
    <w:p w14:paraId="30D7C389" w14:textId="77777777" w:rsidR="00AC63C1" w:rsidRDefault="00AC63C1"/>
    <w:p w14:paraId="1F75360D" w14:textId="77777777" w:rsidR="00AC63C1" w:rsidRDefault="00AC63C1"/>
    <w:p w14:paraId="23F592EC" w14:textId="77777777" w:rsidR="00AC63C1" w:rsidRDefault="00AC63C1"/>
    <w:sectPr w:rsidR="00AC6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3C1"/>
    <w:rsid w:val="001D3402"/>
    <w:rsid w:val="0020521C"/>
    <w:rsid w:val="00347280"/>
    <w:rsid w:val="006C1321"/>
    <w:rsid w:val="007442B9"/>
    <w:rsid w:val="00AC63C1"/>
    <w:rsid w:val="00DA1197"/>
    <w:rsid w:val="00EE0D2D"/>
    <w:rsid w:val="00F16CD6"/>
    <w:rsid w:val="00F62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AD2B4"/>
  <w15:chartTrackingRefBased/>
  <w15:docId w15:val="{5BD333D1-63F9-492E-A5CB-D78D6E638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3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63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63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63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63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63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3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3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3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3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63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63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63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63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63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3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3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3C1"/>
    <w:rPr>
      <w:rFonts w:eastAsiaTheme="majorEastAsia" w:cstheme="majorBidi"/>
      <w:color w:val="272727" w:themeColor="text1" w:themeTint="D8"/>
    </w:rPr>
  </w:style>
  <w:style w:type="paragraph" w:styleId="Title">
    <w:name w:val="Title"/>
    <w:basedOn w:val="Normal"/>
    <w:next w:val="Normal"/>
    <w:link w:val="TitleChar"/>
    <w:uiPriority w:val="10"/>
    <w:qFormat/>
    <w:rsid w:val="00AC63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3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3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3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3C1"/>
    <w:pPr>
      <w:spacing w:before="160"/>
      <w:jc w:val="center"/>
    </w:pPr>
    <w:rPr>
      <w:i/>
      <w:iCs/>
      <w:color w:val="404040" w:themeColor="text1" w:themeTint="BF"/>
    </w:rPr>
  </w:style>
  <w:style w:type="character" w:customStyle="1" w:styleId="QuoteChar">
    <w:name w:val="Quote Char"/>
    <w:basedOn w:val="DefaultParagraphFont"/>
    <w:link w:val="Quote"/>
    <w:uiPriority w:val="29"/>
    <w:rsid w:val="00AC63C1"/>
    <w:rPr>
      <w:i/>
      <w:iCs/>
      <w:color w:val="404040" w:themeColor="text1" w:themeTint="BF"/>
    </w:rPr>
  </w:style>
  <w:style w:type="paragraph" w:styleId="ListParagraph">
    <w:name w:val="List Paragraph"/>
    <w:basedOn w:val="Normal"/>
    <w:uiPriority w:val="34"/>
    <w:qFormat/>
    <w:rsid w:val="00AC63C1"/>
    <w:pPr>
      <w:ind w:left="720"/>
      <w:contextualSpacing/>
    </w:pPr>
  </w:style>
  <w:style w:type="character" w:styleId="IntenseEmphasis">
    <w:name w:val="Intense Emphasis"/>
    <w:basedOn w:val="DefaultParagraphFont"/>
    <w:uiPriority w:val="21"/>
    <w:qFormat/>
    <w:rsid w:val="00AC63C1"/>
    <w:rPr>
      <w:i/>
      <w:iCs/>
      <w:color w:val="2F5496" w:themeColor="accent1" w:themeShade="BF"/>
    </w:rPr>
  </w:style>
  <w:style w:type="paragraph" w:styleId="IntenseQuote">
    <w:name w:val="Intense Quote"/>
    <w:basedOn w:val="Normal"/>
    <w:next w:val="Normal"/>
    <w:link w:val="IntenseQuoteChar"/>
    <w:uiPriority w:val="30"/>
    <w:qFormat/>
    <w:rsid w:val="00AC63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63C1"/>
    <w:rPr>
      <w:i/>
      <w:iCs/>
      <w:color w:val="2F5496" w:themeColor="accent1" w:themeShade="BF"/>
    </w:rPr>
  </w:style>
  <w:style w:type="character" w:styleId="IntenseReference">
    <w:name w:val="Intense Reference"/>
    <w:basedOn w:val="DefaultParagraphFont"/>
    <w:uiPriority w:val="32"/>
    <w:qFormat/>
    <w:rsid w:val="00AC63C1"/>
    <w:rPr>
      <w:b/>
      <w:bCs/>
      <w:smallCaps/>
      <w:color w:val="2F5496" w:themeColor="accent1" w:themeShade="BF"/>
      <w:spacing w:val="5"/>
    </w:rPr>
  </w:style>
  <w:style w:type="table" w:styleId="TableGrid">
    <w:name w:val="Table Grid"/>
    <w:basedOn w:val="TableNormal"/>
    <w:uiPriority w:val="39"/>
    <w:rsid w:val="00AC63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Ong</dc:creator>
  <cp:keywords/>
  <dc:description/>
  <cp:lastModifiedBy>William Ong</cp:lastModifiedBy>
  <cp:revision>1</cp:revision>
  <dcterms:created xsi:type="dcterms:W3CDTF">2024-09-04T00:01:00Z</dcterms:created>
  <dcterms:modified xsi:type="dcterms:W3CDTF">2024-09-04T00:20:00Z</dcterms:modified>
</cp:coreProperties>
</file>