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C96606" w14:textId="77777777" w:rsidR="00C73581" w:rsidRDefault="00000000">
      <w:pPr>
        <w:pStyle w:val="a6"/>
        <w:rPr>
          <w:rFonts w:ascii="Times New Roman" w:hAnsi="Times New Roman"/>
        </w:rPr>
      </w:pPr>
      <w:bookmarkStart w:id="0" w:name="OLE_LINK2"/>
      <w:bookmarkStart w:id="1" w:name="OLE_LINK1"/>
      <w:r>
        <w:rPr>
          <w:rFonts w:ascii="Times New Roman" w:hAnsi="Times New Roman"/>
        </w:rPr>
        <w:t>说</w:t>
      </w:r>
      <w:r>
        <w:rPr>
          <w:rFonts w:ascii="Times New Roman" w:hAnsi="Times New Roman"/>
        </w:rPr>
        <w:t xml:space="preserve">   </w:t>
      </w:r>
      <w:r>
        <w:rPr>
          <w:rFonts w:ascii="Times New Roman" w:hAnsi="Times New Roman"/>
        </w:rPr>
        <w:t>明</w:t>
      </w:r>
      <w:r>
        <w:rPr>
          <w:rFonts w:ascii="Times New Roman" w:hAnsi="Times New Roman"/>
        </w:rPr>
        <w:t xml:space="preserve">   </w:t>
      </w:r>
      <w:r>
        <w:rPr>
          <w:rFonts w:ascii="Times New Roman" w:hAnsi="Times New Roman"/>
        </w:rPr>
        <w:t>书</w:t>
      </w:r>
      <w:r>
        <w:rPr>
          <w:rFonts w:ascii="Times New Roman" w:hAnsi="Times New Roman"/>
        </w:rPr>
        <w:t xml:space="preserve">   </w:t>
      </w:r>
      <w:r>
        <w:rPr>
          <w:rFonts w:ascii="Times New Roman" w:hAnsi="Times New Roman"/>
        </w:rPr>
        <w:t>摘</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noProof/>
        </w:rPr>
        <mc:AlternateContent>
          <mc:Choice Requires="wps">
            <w:drawing>
              <wp:anchor distT="0" distB="0" distL="114300" distR="114300" simplePos="0" relativeHeight="251659264" behindDoc="0" locked="0" layoutInCell="1" allowOverlap="1" wp14:anchorId="50F72388" wp14:editId="341B043B">
                <wp:simplePos x="0" y="0"/>
                <wp:positionH relativeFrom="column">
                  <wp:posOffset>4592955</wp:posOffset>
                </wp:positionH>
                <wp:positionV relativeFrom="paragraph">
                  <wp:posOffset>67945</wp:posOffset>
                </wp:positionV>
                <wp:extent cx="1118870" cy="287655"/>
                <wp:effectExtent l="0" t="0" r="0" b="0"/>
                <wp:wrapNone/>
                <wp:docPr id="1" name="文本框 29"/>
                <wp:cNvGraphicFramePr/>
                <a:graphic xmlns:a="http://schemas.openxmlformats.org/drawingml/2006/main">
                  <a:graphicData uri="http://schemas.microsoft.com/office/word/2010/wordprocessingShape">
                    <wps:wsp>
                      <wps:cNvSpPr txBox="1"/>
                      <wps:spPr>
                        <a:xfrm>
                          <a:off x="0" y="0"/>
                          <a:ext cx="1118870" cy="287655"/>
                        </a:xfrm>
                        <a:prstGeom prst="rect">
                          <a:avLst/>
                        </a:prstGeom>
                        <a:noFill/>
                        <a:ln>
                          <a:noFill/>
                        </a:ln>
                      </wps:spPr>
                      <wps:txbx>
                        <w:txbxContent>
                          <w:p w14:paraId="034DC6A5" w14:textId="77777777" w:rsidR="00C73581" w:rsidRDefault="00000000">
                            <w:r>
                              <w:rPr>
                                <w:rFonts w:hint="eastAsia"/>
                              </w:rPr>
                              <w:t>GG221116182A</w:t>
                            </w:r>
                          </w:p>
                        </w:txbxContent>
                      </wps:txbx>
                      <wps:bodyPr wrap="square" upright="1"/>
                    </wps:wsp>
                  </a:graphicData>
                </a:graphic>
              </wp:anchor>
            </w:drawing>
          </mc:Choice>
          <mc:Fallback>
            <w:pict>
              <v:shapetype w14:anchorId="50F72388" id="_x0000_t202" coordsize="21600,21600" o:spt="202" path="m,l,21600r21600,l21600,xe">
                <v:stroke joinstyle="miter"/>
                <v:path gradientshapeok="t" o:connecttype="rect"/>
              </v:shapetype>
              <v:shape id="文本框 29" o:spid="_x0000_s1026" type="#_x0000_t202" style="position:absolute;left:0;text-align:left;margin-left:361.65pt;margin-top:5.35pt;width:88.1pt;height:22.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" filled="f" stroked="f">
                <v:textbox>
                  <w:txbxContent>
                    <w:p w14:paraId="034DC6A5" w14:textId="77777777" w:rsidR="00C73581" w:rsidRDefault="00000000">
                      <w:r>
                        <w:rPr>
                          <w:rFonts w:hint="eastAsia"/>
                        </w:rPr>
                        <w:t>GG221116182A</w:t>
                      </w:r>
                    </w:p>
                  </w:txbxContent>
                </v:textbox>
              </v:shape>
            </w:pict>
          </mc:Fallback>
        </mc:AlternateContent>
      </w:r>
    </w:p>
    <w:bookmarkEnd w:id="0"/>
    <w:bookmarkEnd w:id="1"/>
    <w:p w14:paraId="51E9F294" w14:textId="45F19EBF" w:rsidR="003C5C42" w:rsidRPr="003C5C42" w:rsidRDefault="003C5C42" w:rsidP="003C5C42">
      <w:pPr>
        <w:pStyle w:val="a7"/>
        <w:spacing w:before="156"/>
        <w:rPr>
          <w:rFonts w:ascii="宋体" w:eastAsia="宋体" w:hAnsi="宋体"/>
        </w:rPr>
      </w:pPr>
      <w:r w:rsidRPr="003C5C42">
        <w:rPr>
          <w:rFonts w:ascii="宋体" w:eastAsia="宋体" w:hAnsi="宋体"/>
        </w:rPr>
        <w:t>本</w:t>
      </w:r>
      <w:r w:rsidRPr="003C5C42">
        <w:rPr>
          <w:rFonts w:ascii="宋体" w:eastAsia="宋体" w:hAnsi="宋体" w:hint="eastAsia"/>
        </w:rPr>
        <w:t>申请</w:t>
      </w:r>
      <w:r w:rsidRPr="003C5C42">
        <w:rPr>
          <w:rFonts w:ascii="宋体" w:eastAsia="宋体" w:hAnsi="宋体"/>
        </w:rPr>
        <w:t>涉及区块链技术领域，特别是区块链数字藏品规范化交易的实现方案。区块链技术因其去中心化、不可篡改及</w:t>
      </w:r>
      <w:proofErr w:type="gramStart"/>
      <w:r w:rsidRPr="003C5C42">
        <w:rPr>
          <w:rFonts w:ascii="宋体" w:eastAsia="宋体" w:hAnsi="宋体"/>
        </w:rPr>
        <w:t>透明可</w:t>
      </w:r>
      <w:proofErr w:type="gramEnd"/>
      <w:r w:rsidRPr="003C5C42">
        <w:rPr>
          <w:rFonts w:ascii="宋体" w:eastAsia="宋体" w:hAnsi="宋体"/>
        </w:rPr>
        <w:t>追溯的特点，在金融、物流、医疗等多个领域得到广泛应用。近年来，数字藏品作为一种基于区块链技术的新兴数字资产形式，受到了广泛关注。数字藏品通常以非同质化代币（NFT）形式存在，通过区块链技术确保其唯一性和所有权。数字藏品的图片、音乐、视频等内容通常存储在IPFS等分布式网络中，通过多个节点存储避免单点故障及中心化控制，保证了数字藏品的唯一性、不可篡改性和明确的所有权归属。然而，部分人发现了数字藏品的炒作价值，过度炒作可能导致公众误解或偏见，因此规范数字藏品交易变得刻不容缓。为了减少数字藏品领域的过度炒作，本发明提出了一整套数字藏品交易规范化的解决方案，目的是通过对数字藏品交易进行限制，减少炒作行为。具体方案包括：转账时间间隔限制、转账次数限制、转账地址权限设计及动态转账税收设计。首先，在转账时间间隔设计方面，用户可以为自己的项目设置一个自定义的时间间隔参数，规定数字藏品买入后，用户在设定时间内无法进行卖出或转账操作，从而有效减少数字藏品的流动速度，遏制过度炒作。其次，转账次数限制则通过设置最大转账次数，防止数字藏品在市场中的快速流通，若超过设定次数，最后一次转账将销毁该数字藏品，以惩罚炒作行为。第三，权限设计通过为不同用户分配不同的权限，使得数字藏品项目的团队成员可以在工作计划中灵活调整权限，避免影响正常的项目推进。最后，动态转账税收设计通过在数字藏品的创建阶段设定版权税比例和动态税收比例，并根据交易次数动态增加税收比例，激励用户理性交易而非炒作。这一系列的措施有效规范了数字藏品市场，减少了投机行为，推动了数字藏品的健康发展。</w:t>
      </w:r>
    </w:p>
    <w:p w14:paraId="21945A2B" w14:textId="77777777" w:rsidR="00C73581" w:rsidRPr="003C5C42" w:rsidRDefault="00C73581">
      <w:pPr>
        <w:pStyle w:val="a7"/>
        <w:spacing w:before="156"/>
        <w:rPr>
          <w:rFonts w:eastAsia="宋体"/>
          <w:color w:val="auto"/>
          <w:sz w:val="21"/>
          <w:szCs w:val="21"/>
        </w:rPr>
      </w:pPr>
    </w:p>
    <w:p w14:paraId="5353F392" w14:textId="77777777" w:rsidR="00C73581" w:rsidRDefault="00C73581">
      <w:pPr>
        <w:pStyle w:val="a7"/>
        <w:spacing w:before="156"/>
        <w:ind w:firstLine="0"/>
        <w:rPr>
          <w:szCs w:val="28"/>
        </w:rPr>
        <w:sectPr w:rsidR="00C73581">
          <w:footerReference w:type="default" r:id="rId8"/>
          <w:pgSz w:w="11906" w:h="16838"/>
          <w:pgMar w:top="1418" w:right="1418" w:bottom="851" w:left="1701" w:header="851" w:footer="964" w:gutter="0"/>
          <w:lnNumType w:countBy="5"/>
          <w:pgNumType w:start="1"/>
          <w:cols w:space="720"/>
          <w:docGrid w:type="lines" w:linePitch="312"/>
        </w:sectPr>
      </w:pPr>
    </w:p>
    <w:p w14:paraId="56B3FA9C" w14:textId="77777777" w:rsidR="00C73581" w:rsidRDefault="00000000">
      <w:pPr>
        <w:pStyle w:val="a6"/>
        <w:rPr>
          <w:rFonts w:ascii="Times New Roman" w:hAnsi="Times New Roman"/>
          <w:szCs w:val="28"/>
        </w:rPr>
      </w:pPr>
      <w:r>
        <w:rPr>
          <w:rFonts w:ascii="Times New Roman" w:hAnsi="Times New Roman"/>
        </w:rPr>
        <w:lastRenderedPageBreak/>
        <w:t xml:space="preserve"> </w:t>
      </w:r>
      <w:r>
        <w:rPr>
          <w:rFonts w:ascii="Times New Roman" w:hAnsi="Times New Roman"/>
        </w:rPr>
        <w:t>摘</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rPr>
        <w:t>附</w:t>
      </w:r>
      <w:r>
        <w:rPr>
          <w:rFonts w:ascii="Times New Roman" w:hAnsi="Times New Roman"/>
        </w:rPr>
        <w:t xml:space="preserve">   </w:t>
      </w:r>
      <w:r>
        <w:rPr>
          <w:rFonts w:ascii="Times New Roman" w:hAnsi="Times New Roman"/>
        </w:rPr>
        <w:t>图</w:t>
      </w:r>
      <w:r>
        <w:rPr>
          <w:rFonts w:ascii="Times New Roman" w:hAnsi="Times New Roman"/>
        </w:rPr>
        <w:t xml:space="preserve">    </w:t>
      </w:r>
      <w:r>
        <w:rPr>
          <w:rFonts w:ascii="Times New Roman" w:hAnsi="Times New Roman"/>
          <w:sz w:val="21"/>
          <w:szCs w:val="21"/>
        </w:rPr>
        <w:t xml:space="preserve"> </w:t>
      </w:r>
      <w:r>
        <w:rPr>
          <w:rFonts w:ascii="Times New Roman" w:hAnsi="Times New Roman"/>
          <w:noProof/>
        </w:rPr>
        <mc:AlternateContent>
          <mc:Choice Requires="wps">
            <w:drawing>
              <wp:anchor distT="0" distB="0" distL="114300" distR="114300" simplePos="0" relativeHeight="251660288" behindDoc="0" locked="0" layoutInCell="1" allowOverlap="1" wp14:anchorId="0B7E0D86" wp14:editId="7DD98918">
                <wp:simplePos x="0" y="0"/>
                <wp:positionH relativeFrom="column">
                  <wp:posOffset>4592955</wp:posOffset>
                </wp:positionH>
                <wp:positionV relativeFrom="paragraph">
                  <wp:posOffset>67945</wp:posOffset>
                </wp:positionV>
                <wp:extent cx="1118870" cy="287655"/>
                <wp:effectExtent l="0" t="0" r="0" b="0"/>
                <wp:wrapNone/>
                <wp:docPr id="2" name="文本框 47"/>
                <wp:cNvGraphicFramePr/>
                <a:graphic xmlns:a="http://schemas.openxmlformats.org/drawingml/2006/main">
                  <a:graphicData uri="http://schemas.microsoft.com/office/word/2010/wordprocessingShape">
                    <wps:wsp>
                      <wps:cNvSpPr txBox="1"/>
                      <wps:spPr>
                        <a:xfrm>
                          <a:off x="0" y="0"/>
                          <a:ext cx="1118870" cy="287655"/>
                        </a:xfrm>
                        <a:prstGeom prst="rect">
                          <a:avLst/>
                        </a:prstGeom>
                        <a:noFill/>
                        <a:ln>
                          <a:noFill/>
                        </a:ln>
                      </wps:spPr>
                      <wps:txbx>
                        <w:txbxContent>
                          <w:p w14:paraId="4435DD21" w14:textId="77777777" w:rsidR="00C73581" w:rsidRDefault="00000000">
                            <w:r>
                              <w:rPr>
                                <w:rFonts w:hint="eastAsia"/>
                              </w:rPr>
                              <w:t>GG221116182A</w:t>
                            </w:r>
                          </w:p>
                        </w:txbxContent>
                      </wps:txbx>
                      <wps:bodyPr wrap="square" upright="1"/>
                    </wps:wsp>
                  </a:graphicData>
                </a:graphic>
              </wp:anchor>
            </w:drawing>
          </mc:Choice>
          <mc:Fallback>
            <w:pict>
              <v:shape w14:anchorId="0B7E0D86" id="文本框 47" o:spid="_x0000_s1027" type="#_x0000_t202" style="position:absolute;left:0;text-align:left;margin-left:361.65pt;margin-top:5.35pt;width:88.1pt;height:22.6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" filled="f" stroked="f">
                <v:textbox>
                  <w:txbxContent>
                    <w:p w14:paraId="4435DD21" w14:textId="77777777" w:rsidR="00C73581" w:rsidRDefault="00000000">
                      <w:r>
                        <w:rPr>
                          <w:rFonts w:hint="eastAsia"/>
                        </w:rPr>
                        <w:t>GG221116182A</w:t>
                      </w:r>
                    </w:p>
                  </w:txbxContent>
                </v:textbox>
              </v:shape>
            </w:pict>
          </mc:Fallback>
        </mc:AlternateContent>
      </w:r>
    </w:p>
    <w:p w14:paraId="3D4972BF" w14:textId="77777777" w:rsidR="00C73581" w:rsidRDefault="002919A0" w:rsidP="002919A0">
      <w:pPr>
        <w:pStyle w:val="a7"/>
        <w:spacing w:before="156" w:line="360" w:lineRule="auto"/>
        <w:ind w:firstLine="0"/>
        <w:rPr>
          <w:szCs w:val="28"/>
        </w:rPr>
      </w:pPr>
      <w:r>
        <w:rPr>
          <w:noProof/>
          <w:szCs w:val="28"/>
        </w:rPr>
        <w:drawing>
          <wp:inline distT="0" distB="0" distL="0" distR="0" wp14:anchorId="1C770EB4" wp14:editId="54F13645">
            <wp:extent cx="4876800" cy="3427090"/>
            <wp:effectExtent l="0" t="0" r="0" b="2540"/>
            <wp:docPr id="81808538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0983" cy="3444084"/>
                    </a:xfrm>
                    <a:prstGeom prst="rect">
                      <a:avLst/>
                    </a:prstGeom>
                    <a:noFill/>
                    <a:ln>
                      <a:noFill/>
                    </a:ln>
                  </pic:spPr>
                </pic:pic>
              </a:graphicData>
            </a:graphic>
          </wp:inline>
        </w:drawing>
      </w:r>
    </w:p>
    <w:p w14:paraId="51BE0424" w14:textId="108682A8" w:rsidR="002919A0" w:rsidRDefault="002919A0">
      <w:pPr>
        <w:pStyle w:val="a7"/>
        <w:spacing w:before="156" w:line="360" w:lineRule="auto"/>
        <w:ind w:firstLine="0"/>
        <w:jc w:val="center"/>
        <w:rPr>
          <w:rFonts w:hint="eastAsia"/>
          <w:szCs w:val="28"/>
        </w:rPr>
        <w:sectPr w:rsidR="002919A0">
          <w:pgSz w:w="11906" w:h="16838"/>
          <w:pgMar w:top="1418" w:right="1418" w:bottom="851" w:left="1701" w:header="851" w:footer="964" w:gutter="0"/>
          <w:lnNumType w:countBy="5"/>
          <w:pgNumType w:start="1"/>
          <w:cols w:space="720"/>
          <w:docGrid w:type="lines" w:linePitch="312"/>
        </w:sectPr>
      </w:pPr>
      <w:r>
        <w:rPr>
          <w:noProof/>
          <w:szCs w:val="28"/>
        </w:rPr>
        <w:drawing>
          <wp:inline distT="0" distB="0" distL="0" distR="0" wp14:anchorId="61D248BD" wp14:editId="5C8FB81A">
            <wp:extent cx="4042271" cy="4235450"/>
            <wp:effectExtent l="0" t="0" r="0" b="0"/>
            <wp:docPr id="152784798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067" cy="4240475"/>
                    </a:xfrm>
                    <a:prstGeom prst="rect">
                      <a:avLst/>
                    </a:prstGeom>
                    <a:noFill/>
                    <a:ln>
                      <a:noFill/>
                    </a:ln>
                  </pic:spPr>
                </pic:pic>
              </a:graphicData>
            </a:graphic>
          </wp:inline>
        </w:drawing>
      </w:r>
    </w:p>
    <w:p w14:paraId="01B1A955" w14:textId="77777777" w:rsidR="00C73581" w:rsidRDefault="00000000">
      <w:pPr>
        <w:pStyle w:val="a6"/>
        <w:rPr>
          <w:rFonts w:ascii="Times New Roman" w:eastAsia="宋体" w:hAnsi="Times New Roman"/>
          <w:sz w:val="28"/>
          <w:szCs w:val="28"/>
        </w:rPr>
      </w:pPr>
      <w:bookmarkStart w:id="2" w:name="OLE_LINK3"/>
      <w:r>
        <w:rPr>
          <w:rFonts w:ascii="Times New Roman" w:hAnsi="Times New Roman"/>
        </w:rPr>
        <w:lastRenderedPageBreak/>
        <w:t>权</w:t>
      </w:r>
      <w:r>
        <w:rPr>
          <w:rFonts w:ascii="Times New Roman" w:hAnsi="Times New Roman"/>
        </w:rPr>
        <w:t xml:space="preserve">   </w:t>
      </w:r>
      <w:r>
        <w:rPr>
          <w:rFonts w:ascii="Times New Roman" w:hAnsi="Times New Roman"/>
        </w:rPr>
        <w:t>利</w:t>
      </w:r>
      <w:r>
        <w:rPr>
          <w:rFonts w:ascii="Times New Roman" w:hAnsi="Times New Roman"/>
        </w:rPr>
        <w:t xml:space="preserve">   </w:t>
      </w:r>
      <w:r>
        <w:rPr>
          <w:rFonts w:ascii="Times New Roman" w:hAnsi="Times New Roman"/>
        </w:rPr>
        <w:t>要</w:t>
      </w:r>
      <w:r>
        <w:rPr>
          <w:rFonts w:ascii="Times New Roman" w:hAnsi="Times New Roman"/>
        </w:rPr>
        <w:t xml:space="preserve">   </w:t>
      </w:r>
      <w:r>
        <w:rPr>
          <w:rFonts w:ascii="Times New Roman" w:hAnsi="Times New Roman"/>
        </w:rPr>
        <w:t>求</w:t>
      </w:r>
      <w:r>
        <w:rPr>
          <w:rFonts w:ascii="Times New Roman" w:hAnsi="Times New Roman"/>
        </w:rPr>
        <w:t xml:space="preserve">   </w:t>
      </w:r>
      <w:r>
        <w:rPr>
          <w:rFonts w:ascii="Times New Roman" w:hAnsi="Times New Roman"/>
        </w:rPr>
        <w:t>书</w:t>
      </w:r>
      <w:r>
        <w:rPr>
          <w:rFonts w:ascii="Times New Roman" w:hAnsi="Times New Roman"/>
        </w:rPr>
        <w:t xml:space="preserve">    </w:t>
      </w:r>
      <w:r>
        <w:rPr>
          <w:rFonts w:ascii="Times New Roman" w:hAnsi="Times New Roman"/>
          <w:sz w:val="21"/>
          <w:szCs w:val="21"/>
        </w:rPr>
        <w:t xml:space="preserve"> </w:t>
      </w:r>
      <w:bookmarkEnd w:id="2"/>
      <w:r>
        <w:rPr>
          <w:rFonts w:ascii="Times New Roman" w:hAnsi="Times New Roman"/>
          <w:noProof/>
        </w:rPr>
        <mc:AlternateContent>
          <mc:Choice Requires="wps">
            <w:drawing>
              <wp:anchor distT="0" distB="0" distL="114300" distR="114300" simplePos="0" relativeHeight="251661312" behindDoc="0" locked="0" layoutInCell="1" allowOverlap="1" wp14:anchorId="1D6D5F7F" wp14:editId="07F555B2">
                <wp:simplePos x="0" y="0"/>
                <wp:positionH relativeFrom="column">
                  <wp:posOffset>4592955</wp:posOffset>
                </wp:positionH>
                <wp:positionV relativeFrom="paragraph">
                  <wp:posOffset>67945</wp:posOffset>
                </wp:positionV>
                <wp:extent cx="1118870" cy="287655"/>
                <wp:effectExtent l="0" t="0" r="0" b="0"/>
                <wp:wrapNone/>
                <wp:docPr id="3" name="文本框 48"/>
                <wp:cNvGraphicFramePr/>
                <a:graphic xmlns:a="http://schemas.openxmlformats.org/drawingml/2006/main">
                  <a:graphicData uri="http://schemas.microsoft.com/office/word/2010/wordprocessingShape">
                    <wps:wsp>
                      <wps:cNvSpPr txBox="1"/>
                      <wps:spPr>
                        <a:xfrm>
                          <a:off x="0" y="0"/>
                          <a:ext cx="1118870" cy="287655"/>
                        </a:xfrm>
                        <a:prstGeom prst="rect">
                          <a:avLst/>
                        </a:prstGeom>
                        <a:noFill/>
                        <a:ln>
                          <a:noFill/>
                        </a:ln>
                      </wps:spPr>
                      <wps:txbx>
                        <w:txbxContent>
                          <w:p w14:paraId="4BCE2874" w14:textId="77777777" w:rsidR="00C73581" w:rsidRDefault="00000000">
                            <w:r>
                              <w:rPr>
                                <w:rFonts w:hint="eastAsia"/>
                              </w:rPr>
                              <w:t>GG221116182A</w:t>
                            </w:r>
                          </w:p>
                        </w:txbxContent>
                      </wps:txbx>
                      <wps:bodyPr wrap="square" upright="1"/>
                    </wps:wsp>
                  </a:graphicData>
                </a:graphic>
              </wp:anchor>
            </w:drawing>
          </mc:Choice>
          <mc:Fallback>
            <w:pict>
              <v:shape w14:anchorId="1D6D5F7F" id="文本框 48" o:spid="_x0000_s1028" type="#_x0000_t202" style="position:absolute;left:0;text-align:left;margin-left:361.65pt;margin-top:5.35pt;width:88.1pt;height:22.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" filled="f" stroked="f">
                <v:textbox>
                  <w:txbxContent>
                    <w:p w14:paraId="4BCE2874" w14:textId="77777777" w:rsidR="00C73581" w:rsidRDefault="00000000">
                      <w:r>
                        <w:rPr>
                          <w:rFonts w:hint="eastAsia"/>
                        </w:rPr>
                        <w:t>GG221116182A</w:t>
                      </w:r>
                    </w:p>
                  </w:txbxContent>
                </v:textbox>
              </v:shape>
            </w:pict>
          </mc:Fallback>
        </mc:AlternateContent>
      </w:r>
    </w:p>
    <w:p w14:paraId="133EFED1" w14:textId="73B35B76" w:rsidR="002919A0" w:rsidRPr="002919A0" w:rsidRDefault="002919A0" w:rsidP="002919A0">
      <w:pPr>
        <w:pStyle w:val="a8"/>
        <w:numPr>
          <w:ilvl w:val="0"/>
          <w:numId w:val="1"/>
        </w:numPr>
        <w:rPr>
          <w:rFonts w:ascii="宋体" w:eastAsia="宋体" w:hAnsi="宋体"/>
        </w:rPr>
      </w:pPr>
      <w:r w:rsidRPr="002919A0">
        <w:rPr>
          <w:rFonts w:ascii="宋体" w:eastAsia="宋体" w:hAnsi="宋体"/>
          <w:b/>
          <w:bCs/>
        </w:rPr>
        <w:t>一种数字藏品规范化交易方法，应用于区块链平台，所述方法包括以下步骤</w:t>
      </w:r>
      <w:r w:rsidRPr="002919A0">
        <w:rPr>
          <w:rFonts w:ascii="宋体" w:eastAsia="宋体" w:hAnsi="宋体"/>
        </w:rPr>
        <w:t>：</w:t>
      </w:r>
    </w:p>
    <w:p w14:paraId="72C2440E" w14:textId="77777777" w:rsidR="002919A0" w:rsidRPr="002919A0" w:rsidRDefault="002919A0" w:rsidP="002919A0">
      <w:pPr>
        <w:pStyle w:val="a8"/>
        <w:numPr>
          <w:ilvl w:val="1"/>
          <w:numId w:val="1"/>
        </w:numPr>
        <w:rPr>
          <w:rFonts w:ascii="宋体" w:eastAsia="宋体" w:hAnsi="宋体"/>
        </w:rPr>
      </w:pPr>
      <w:r w:rsidRPr="002919A0">
        <w:rPr>
          <w:rFonts w:ascii="宋体" w:eastAsia="宋体" w:hAnsi="宋体"/>
          <w:b/>
          <w:bCs/>
        </w:rPr>
        <w:t>A. 设置转账时间间隔限制</w:t>
      </w:r>
      <w:r w:rsidRPr="002919A0">
        <w:rPr>
          <w:rFonts w:ascii="宋体" w:eastAsia="宋体" w:hAnsi="宋体"/>
        </w:rPr>
        <w:t>，通过智能合约设定每次购买后，数字藏品在一定时间内不可转卖；</w:t>
      </w:r>
    </w:p>
    <w:p w14:paraId="21B9CCC4" w14:textId="77777777" w:rsidR="002919A0" w:rsidRPr="002919A0" w:rsidRDefault="002919A0" w:rsidP="002919A0">
      <w:pPr>
        <w:pStyle w:val="a8"/>
        <w:numPr>
          <w:ilvl w:val="1"/>
          <w:numId w:val="1"/>
        </w:numPr>
        <w:rPr>
          <w:rFonts w:ascii="宋体" w:eastAsia="宋体" w:hAnsi="宋体"/>
        </w:rPr>
      </w:pPr>
      <w:r w:rsidRPr="002919A0">
        <w:rPr>
          <w:rFonts w:ascii="宋体" w:eastAsia="宋体" w:hAnsi="宋体"/>
          <w:b/>
          <w:bCs/>
        </w:rPr>
        <w:t>B. 设置最大转账次数限制</w:t>
      </w:r>
      <w:r w:rsidRPr="002919A0">
        <w:rPr>
          <w:rFonts w:ascii="宋体" w:eastAsia="宋体" w:hAnsi="宋体"/>
        </w:rPr>
        <w:t>，限制每个数字藏品的转账次数，超过最大次数后，数字藏品自动销毁；</w:t>
      </w:r>
    </w:p>
    <w:p w14:paraId="6FF14275" w14:textId="77777777" w:rsidR="002919A0" w:rsidRPr="002919A0" w:rsidRDefault="002919A0" w:rsidP="002919A0">
      <w:pPr>
        <w:pStyle w:val="a8"/>
        <w:numPr>
          <w:ilvl w:val="1"/>
          <w:numId w:val="1"/>
        </w:numPr>
        <w:rPr>
          <w:rFonts w:ascii="宋体" w:eastAsia="宋体" w:hAnsi="宋体"/>
        </w:rPr>
      </w:pPr>
      <w:r w:rsidRPr="002919A0">
        <w:rPr>
          <w:rFonts w:ascii="宋体" w:eastAsia="宋体" w:hAnsi="宋体"/>
          <w:b/>
          <w:bCs/>
        </w:rPr>
        <w:t>C. 设计转账地址权限</w:t>
      </w:r>
      <w:r w:rsidRPr="002919A0">
        <w:rPr>
          <w:rFonts w:ascii="宋体" w:eastAsia="宋体" w:hAnsi="宋体"/>
        </w:rPr>
        <w:t>，针对不同角色的用户，设置不同的转</w:t>
      </w:r>
      <w:proofErr w:type="gramStart"/>
      <w:r w:rsidRPr="002919A0">
        <w:rPr>
          <w:rFonts w:ascii="宋体" w:eastAsia="宋体" w:hAnsi="宋体"/>
        </w:rPr>
        <w:t>账</w:t>
      </w:r>
      <w:proofErr w:type="gramEnd"/>
      <w:r w:rsidRPr="002919A0">
        <w:rPr>
          <w:rFonts w:ascii="宋体" w:eastAsia="宋体" w:hAnsi="宋体"/>
        </w:rPr>
        <w:t>操作权限；</w:t>
      </w:r>
    </w:p>
    <w:p w14:paraId="158F78BE" w14:textId="77777777" w:rsidR="002919A0" w:rsidRPr="002919A0" w:rsidRDefault="002919A0" w:rsidP="002919A0">
      <w:pPr>
        <w:pStyle w:val="a8"/>
        <w:numPr>
          <w:ilvl w:val="1"/>
          <w:numId w:val="1"/>
        </w:numPr>
        <w:rPr>
          <w:rFonts w:ascii="宋体" w:eastAsia="宋体" w:hAnsi="宋体"/>
        </w:rPr>
      </w:pPr>
      <w:r w:rsidRPr="002919A0">
        <w:rPr>
          <w:rFonts w:ascii="宋体" w:eastAsia="宋体" w:hAnsi="宋体"/>
          <w:b/>
          <w:bCs/>
        </w:rPr>
        <w:t>D. 实现动态转账税收</w:t>
      </w:r>
      <w:r w:rsidRPr="002919A0">
        <w:rPr>
          <w:rFonts w:ascii="宋体" w:eastAsia="宋体" w:hAnsi="宋体"/>
        </w:rPr>
        <w:t>，依据用户的交易次数动态调整转账税收比例。</w:t>
      </w:r>
    </w:p>
    <w:p w14:paraId="3C17DCC7" w14:textId="77777777" w:rsidR="002919A0" w:rsidRPr="002919A0" w:rsidRDefault="002919A0" w:rsidP="002919A0">
      <w:pPr>
        <w:pStyle w:val="a8"/>
        <w:rPr>
          <w:rFonts w:ascii="宋体" w:eastAsia="宋体" w:hAnsi="宋体"/>
          <w:b/>
          <w:bCs/>
        </w:rPr>
      </w:pPr>
      <w:r w:rsidRPr="002919A0">
        <w:rPr>
          <w:rFonts w:ascii="宋体" w:eastAsia="宋体" w:hAnsi="宋体"/>
          <w:b/>
          <w:bCs/>
        </w:rPr>
        <w:t>1.1 设置转账时间间隔限制的步骤（A）</w:t>
      </w:r>
    </w:p>
    <w:p w14:paraId="7A7D8A44" w14:textId="77777777" w:rsidR="002919A0" w:rsidRPr="002919A0" w:rsidRDefault="002919A0" w:rsidP="002919A0">
      <w:pPr>
        <w:pStyle w:val="a8"/>
        <w:rPr>
          <w:rFonts w:ascii="宋体" w:eastAsia="宋体" w:hAnsi="宋体"/>
        </w:rPr>
      </w:pPr>
      <w:r w:rsidRPr="002919A0">
        <w:rPr>
          <w:rFonts w:ascii="宋体" w:eastAsia="宋体" w:hAnsi="宋体"/>
        </w:rPr>
        <w:t>在本发明的实施方法中，</w:t>
      </w:r>
      <w:r w:rsidRPr="002919A0">
        <w:rPr>
          <w:rFonts w:ascii="宋体" w:eastAsia="宋体" w:hAnsi="宋体"/>
          <w:b/>
          <w:bCs/>
        </w:rPr>
        <w:t>转账时间间隔限制</w:t>
      </w:r>
      <w:r w:rsidRPr="002919A0">
        <w:rPr>
          <w:rFonts w:ascii="宋体" w:eastAsia="宋体" w:hAnsi="宋体"/>
        </w:rPr>
        <w:t>是关键技术之一，旨在通过设定合理的转账时间间隔，避免数字藏品的快速流通。每当用户购买数字藏品时，系统会自动应用设置的时间间隔参数，阻止用户在指定时间段内再次转卖该藏品。该步骤可通过智能合约来实现，合约将储存转账时间间隔的相关数据，并在每次转账操作时检查该条件是否得到满足。</w:t>
      </w:r>
    </w:p>
    <w:p w14:paraId="3D2E59F3" w14:textId="77777777" w:rsidR="002919A0" w:rsidRPr="002919A0" w:rsidRDefault="002919A0" w:rsidP="002919A0">
      <w:pPr>
        <w:pStyle w:val="a8"/>
        <w:rPr>
          <w:rFonts w:ascii="宋体" w:eastAsia="宋体" w:hAnsi="宋体"/>
        </w:rPr>
      </w:pPr>
      <w:r w:rsidRPr="002919A0">
        <w:rPr>
          <w:rFonts w:ascii="宋体" w:eastAsia="宋体" w:hAnsi="宋体"/>
        </w:rPr>
        <w:t>本步骤的核心是用户可自定义转账时间间隔的参数，并且该参数以小时为单位输入。比如，当设定转账时间间隔为24小时时，用户在购买数字藏品后，系统会对其进行标记，确保用户在24小时内无法转卖该藏品。在此期间，即便用户尝试进行转账，系统也会通过智能合约的检查机制予以阻止。这种方式可有效防止数字藏品的频繁转手及过度炒作。</w:t>
      </w:r>
    </w:p>
    <w:p w14:paraId="363D93DF" w14:textId="77777777" w:rsidR="002919A0" w:rsidRPr="002919A0" w:rsidRDefault="002919A0" w:rsidP="002919A0">
      <w:pPr>
        <w:pStyle w:val="a8"/>
        <w:rPr>
          <w:rFonts w:ascii="宋体" w:eastAsia="宋体" w:hAnsi="宋体"/>
        </w:rPr>
      </w:pPr>
      <w:r w:rsidRPr="002919A0">
        <w:rPr>
          <w:rFonts w:ascii="宋体" w:eastAsia="宋体" w:hAnsi="宋体"/>
        </w:rPr>
        <w:t>在一些特定场景下，用户可能希望根据市场需求灵活调整这一时间间隔参数，系统应支持灵活修改，允许创建者或管理员根据实际情况进行操作。此外，本步骤还可通过动态算法根据市场波动调整时间间隔，以防范短期内出现的大规模转手行为。</w:t>
      </w:r>
    </w:p>
    <w:p w14:paraId="735EAE9F" w14:textId="77777777" w:rsidR="002919A0" w:rsidRPr="002919A0" w:rsidRDefault="002919A0" w:rsidP="002919A0">
      <w:pPr>
        <w:pStyle w:val="a8"/>
        <w:rPr>
          <w:rFonts w:ascii="宋体" w:eastAsia="宋体" w:hAnsi="宋体"/>
          <w:b/>
          <w:bCs/>
        </w:rPr>
      </w:pPr>
      <w:r w:rsidRPr="002919A0">
        <w:rPr>
          <w:rFonts w:ascii="宋体" w:eastAsia="宋体" w:hAnsi="宋体"/>
          <w:b/>
          <w:bCs/>
        </w:rPr>
        <w:lastRenderedPageBreak/>
        <w:t>1.2 设置最大转账次数限制的步骤（B）</w:t>
      </w:r>
    </w:p>
    <w:p w14:paraId="125DF716" w14:textId="77777777" w:rsidR="002919A0" w:rsidRPr="002919A0" w:rsidRDefault="002919A0" w:rsidP="002919A0">
      <w:pPr>
        <w:pStyle w:val="a8"/>
        <w:rPr>
          <w:rFonts w:ascii="宋体" w:eastAsia="宋体" w:hAnsi="宋体"/>
        </w:rPr>
      </w:pPr>
      <w:r w:rsidRPr="002919A0">
        <w:rPr>
          <w:rFonts w:ascii="宋体" w:eastAsia="宋体" w:hAnsi="宋体"/>
          <w:b/>
          <w:bCs/>
        </w:rPr>
        <w:t>最大转账次数限制</w:t>
      </w:r>
      <w:r w:rsidRPr="002919A0">
        <w:rPr>
          <w:rFonts w:ascii="宋体" w:eastAsia="宋体" w:hAnsi="宋体"/>
        </w:rPr>
        <w:t>是另一个重要措施，旨在通过限制数字藏品的流通次数，防止其在短期内频繁转卖，进而避免市场出现过度炒作。每个数字藏品的最大转账次数会在创建时通过合约进行设定。当某个数字藏品的转账次数达到上限时，最后一次转账操作将导致该数字藏品的销毁。这一措施是为了惩罚那些参与过度炒作行为的用户，同时减少市场上流通的虚假需求。</w:t>
      </w:r>
    </w:p>
    <w:p w14:paraId="39DCBB11" w14:textId="77777777" w:rsidR="002919A0" w:rsidRPr="002919A0" w:rsidRDefault="002919A0" w:rsidP="002919A0">
      <w:pPr>
        <w:pStyle w:val="a8"/>
        <w:rPr>
          <w:rFonts w:ascii="宋体" w:eastAsia="宋体" w:hAnsi="宋体"/>
        </w:rPr>
      </w:pPr>
      <w:r w:rsidRPr="002919A0">
        <w:rPr>
          <w:rFonts w:ascii="宋体" w:eastAsia="宋体" w:hAnsi="宋体"/>
        </w:rPr>
        <w:t>该限制的实施方法与时间间隔限制类似，系统通过智能合约跟踪数字藏品的转账次数，并在每次转账时增加计数。一旦转账次数超过设定值，系统会自动执行销毁操作，即销毁该藏品的有效性，使其不再具备交易资格。销毁操作不仅仅是在数字藏品交易市场内进行，也可以通过销毁链上相关的记录来确保数据的完整性和公正性。</w:t>
      </w:r>
    </w:p>
    <w:p w14:paraId="64015E3B" w14:textId="77777777" w:rsidR="002919A0" w:rsidRPr="002919A0" w:rsidRDefault="002919A0" w:rsidP="002919A0">
      <w:pPr>
        <w:pStyle w:val="a8"/>
        <w:rPr>
          <w:rFonts w:ascii="宋体" w:eastAsia="宋体" w:hAnsi="宋体"/>
        </w:rPr>
      </w:pPr>
      <w:r w:rsidRPr="002919A0">
        <w:rPr>
          <w:rFonts w:ascii="宋体" w:eastAsia="宋体" w:hAnsi="宋体"/>
        </w:rPr>
        <w:t>此外，本发明的系统还允许创作者在初期设定较低的转账次数限制，并根据市场反应逐步调整这一限制。这种灵活性使得数字藏品的交易行为能够随市场需求的变化进行调整，确保交易市场的稳定性。</w:t>
      </w:r>
    </w:p>
    <w:p w14:paraId="2388DC38" w14:textId="77777777" w:rsidR="002919A0" w:rsidRPr="002919A0" w:rsidRDefault="002919A0" w:rsidP="002919A0">
      <w:pPr>
        <w:pStyle w:val="a8"/>
        <w:rPr>
          <w:rFonts w:ascii="宋体" w:eastAsia="宋体" w:hAnsi="宋体"/>
          <w:b/>
          <w:bCs/>
        </w:rPr>
      </w:pPr>
      <w:r w:rsidRPr="002919A0">
        <w:rPr>
          <w:rFonts w:ascii="宋体" w:eastAsia="宋体" w:hAnsi="宋体"/>
          <w:b/>
          <w:bCs/>
        </w:rPr>
        <w:t>1.3 设计转账地址权限的步骤（C）</w:t>
      </w:r>
    </w:p>
    <w:p w14:paraId="54752191" w14:textId="77777777" w:rsidR="002919A0" w:rsidRPr="002919A0" w:rsidRDefault="002919A0" w:rsidP="002919A0">
      <w:pPr>
        <w:pStyle w:val="a8"/>
        <w:rPr>
          <w:rFonts w:ascii="宋体" w:eastAsia="宋体" w:hAnsi="宋体"/>
        </w:rPr>
      </w:pPr>
      <w:r w:rsidRPr="002919A0">
        <w:rPr>
          <w:rFonts w:ascii="宋体" w:eastAsia="宋体" w:hAnsi="宋体"/>
          <w:b/>
          <w:bCs/>
        </w:rPr>
        <w:t>转账地址权限设计</w:t>
      </w:r>
      <w:r w:rsidRPr="002919A0">
        <w:rPr>
          <w:rFonts w:ascii="宋体" w:eastAsia="宋体" w:hAnsi="宋体"/>
        </w:rPr>
        <w:t>旨在为不同角色的用户设计灵活的权限控制机制。在数字藏品交易过程中，创作者和管理员往往需要对不同用户的转账操作进行限制，以避免部分用户因滥用交易功能而导致市场的失控。</w:t>
      </w:r>
    </w:p>
    <w:p w14:paraId="2C958D9F" w14:textId="77777777" w:rsidR="002919A0" w:rsidRPr="002919A0" w:rsidRDefault="002919A0" w:rsidP="002919A0">
      <w:pPr>
        <w:pStyle w:val="a8"/>
        <w:rPr>
          <w:rFonts w:ascii="宋体" w:eastAsia="宋体" w:hAnsi="宋体"/>
        </w:rPr>
      </w:pPr>
      <w:r w:rsidRPr="002919A0">
        <w:rPr>
          <w:rFonts w:ascii="宋体" w:eastAsia="宋体" w:hAnsi="宋体"/>
        </w:rPr>
        <w:t>在本发明中，系统采用基于用户角色的权限控制策略，允许管理员为不同的用户</w:t>
      </w:r>
      <w:proofErr w:type="gramStart"/>
      <w:r w:rsidRPr="002919A0">
        <w:rPr>
          <w:rFonts w:ascii="宋体" w:eastAsia="宋体" w:hAnsi="宋体"/>
        </w:rPr>
        <w:t>组分配</w:t>
      </w:r>
      <w:proofErr w:type="gramEnd"/>
      <w:r w:rsidRPr="002919A0">
        <w:rPr>
          <w:rFonts w:ascii="宋体" w:eastAsia="宋体" w:hAnsi="宋体"/>
        </w:rPr>
        <w:t>不同的转账权限。例如，数字藏品的创作者可以为团队成员设置较宽松的转账限制，而对普通用户则可以进行严格的转账时间间隔和转账次数限制。管理员则可以对团队成员的操作进行审核，并根据具体情况调整权限设置。</w:t>
      </w:r>
    </w:p>
    <w:p w14:paraId="0066CD5B" w14:textId="77777777" w:rsidR="002919A0" w:rsidRPr="002919A0" w:rsidRDefault="002919A0" w:rsidP="002919A0">
      <w:pPr>
        <w:pStyle w:val="a8"/>
        <w:rPr>
          <w:rFonts w:ascii="宋体" w:eastAsia="宋体" w:hAnsi="宋体"/>
        </w:rPr>
      </w:pPr>
      <w:r w:rsidRPr="002919A0">
        <w:rPr>
          <w:rFonts w:ascii="宋体" w:eastAsia="宋体" w:hAnsi="宋体"/>
        </w:rPr>
        <w:t>该步骤的实现方式基于区块链平台中的智能合约，通过用户组和用户地址对不同权限进行赋值。当用户尝试进行转账操作时，系统会根据用户所属的组别和设置的权限，自动判断是否允许该操作。通过这种方式，管理员和创作者能够在不干扰正常市场交易的情况下，确保市场秩</w:t>
      </w:r>
      <w:r w:rsidRPr="002919A0">
        <w:rPr>
          <w:rFonts w:ascii="宋体" w:eastAsia="宋体" w:hAnsi="宋体"/>
        </w:rPr>
        <w:lastRenderedPageBreak/>
        <w:t>序不被破坏。</w:t>
      </w:r>
    </w:p>
    <w:p w14:paraId="02E0BF34" w14:textId="77777777" w:rsidR="002919A0" w:rsidRPr="002919A0" w:rsidRDefault="002919A0" w:rsidP="002919A0">
      <w:pPr>
        <w:pStyle w:val="a8"/>
        <w:rPr>
          <w:rFonts w:ascii="宋体" w:eastAsia="宋体" w:hAnsi="宋体"/>
          <w:b/>
          <w:bCs/>
        </w:rPr>
      </w:pPr>
      <w:r w:rsidRPr="002919A0">
        <w:rPr>
          <w:rFonts w:ascii="宋体" w:eastAsia="宋体" w:hAnsi="宋体"/>
          <w:b/>
          <w:bCs/>
        </w:rPr>
        <w:t>1.4 实现动态转账税收的步骤（D）</w:t>
      </w:r>
    </w:p>
    <w:p w14:paraId="0313E8A4" w14:textId="77777777" w:rsidR="002919A0" w:rsidRPr="002919A0" w:rsidRDefault="002919A0" w:rsidP="002919A0">
      <w:pPr>
        <w:pStyle w:val="a8"/>
        <w:rPr>
          <w:rFonts w:ascii="宋体" w:eastAsia="宋体" w:hAnsi="宋体"/>
        </w:rPr>
      </w:pPr>
      <w:r w:rsidRPr="002919A0">
        <w:rPr>
          <w:rFonts w:ascii="宋体" w:eastAsia="宋体" w:hAnsi="宋体"/>
          <w:b/>
          <w:bCs/>
        </w:rPr>
        <w:t>动态转账税收</w:t>
      </w:r>
      <w:r w:rsidRPr="002919A0">
        <w:rPr>
          <w:rFonts w:ascii="宋体" w:eastAsia="宋体" w:hAnsi="宋体"/>
        </w:rPr>
        <w:t>是为了鼓励用户理性交易，减少投机行为而设计的一种机制。本发明通过设定一个初始的版权税比例，并根据用户的交易次数动态调整税收比例，使得交易频繁的用户需要支付更高的税费，从而抑制其炒作行为。</w:t>
      </w:r>
    </w:p>
    <w:p w14:paraId="2DD086A7" w14:textId="77777777" w:rsidR="002919A0" w:rsidRPr="002919A0" w:rsidRDefault="002919A0" w:rsidP="002919A0">
      <w:pPr>
        <w:pStyle w:val="a8"/>
        <w:rPr>
          <w:rFonts w:ascii="宋体" w:eastAsia="宋体" w:hAnsi="宋体"/>
        </w:rPr>
      </w:pPr>
      <w:r w:rsidRPr="002919A0">
        <w:rPr>
          <w:rFonts w:ascii="宋体" w:eastAsia="宋体" w:hAnsi="宋体"/>
        </w:rPr>
        <w:t>具体来说，在数字藏品创建时，创作者可以设置一个初始的版权税比例（例如5%），并定义动态税收的调整比例（例如每次交易增加2%）。用户第一次进行交易时，将按照初始税率支付税费；第二次交易时，税费会根据动态比例增加；第三次交易时，税费再次增加，如此类推。系统会根据用户的交易次数自动计算应支付的税费，并在每次交易时扣除相应的税额。</w:t>
      </w:r>
    </w:p>
    <w:p w14:paraId="33CA7944" w14:textId="77777777" w:rsidR="002919A0" w:rsidRPr="002919A0" w:rsidRDefault="002919A0" w:rsidP="002919A0">
      <w:pPr>
        <w:pStyle w:val="a8"/>
        <w:rPr>
          <w:rFonts w:ascii="宋体" w:eastAsia="宋体" w:hAnsi="宋体"/>
        </w:rPr>
      </w:pPr>
      <w:r w:rsidRPr="002919A0">
        <w:rPr>
          <w:rFonts w:ascii="宋体" w:eastAsia="宋体" w:hAnsi="宋体"/>
        </w:rPr>
        <w:t>这一方案的关键在于，动态调整税率能够有效地抑制过度炒作行为，鼓励用户进行合理的投资和收藏。同时，这种动态税收机制也能够为创作者和平台带来持续的收益，支持数字藏品市场的可持续发展。</w:t>
      </w:r>
    </w:p>
    <w:p w14:paraId="17B9C399" w14:textId="1B013BD8" w:rsidR="00C73581" w:rsidRDefault="00566785" w:rsidP="00566785">
      <w:pPr>
        <w:pStyle w:val="a8"/>
        <w:ind w:firstLineChars="200" w:firstLine="560"/>
        <w:rPr>
          <w:rFonts w:eastAsia="宋体"/>
          <w:color w:val="auto"/>
        </w:rPr>
      </w:pPr>
      <w:r>
        <w:rPr>
          <w:rFonts w:eastAsia="宋体" w:hint="eastAsia"/>
          <w:color w:val="auto"/>
        </w:rPr>
        <w:t>2</w:t>
      </w:r>
      <w:r>
        <w:rPr>
          <w:rFonts w:ascii="宋体" w:eastAsia="宋体" w:hAnsi="宋体" w:hint="eastAsia"/>
          <w:color w:val="auto"/>
        </w:rPr>
        <w:t>.作为对权利1的补充，</w:t>
      </w:r>
      <w:r w:rsidR="002919A0" w:rsidRPr="002919A0">
        <w:rPr>
          <w:rFonts w:eastAsia="宋体"/>
          <w:color w:val="auto"/>
        </w:rPr>
        <w:t>数字藏品的特点在于其不可篡改性、唯一性及可追溯性，这使其成为一种理想的数字资产形式。然而，随着市场的扩大，数字藏品的交易行为出现了过度炒作、虚假交易等问题，导致部分公众对其产生误解。因此，如何规范数字藏品的交易行为，确保交易市场的健康发展，成为亟待解决的技术问题。为了满足这一需求，本发明提供了一种规范化数字藏品交易的技术方案，通过对数字藏品交易进行一系列限制措施，有效减少市场的过度炒作行为，推动数字藏品交易环境的健康发展。</w:t>
      </w:r>
    </w:p>
    <w:p w14:paraId="035BB256" w14:textId="2D8267E8" w:rsidR="002919A0" w:rsidRDefault="00566785">
      <w:pPr>
        <w:pStyle w:val="a8"/>
        <w:rPr>
          <w:rFonts w:eastAsia="宋体"/>
          <w:color w:val="auto"/>
        </w:rPr>
      </w:pPr>
      <w:r>
        <w:rPr>
          <w:rFonts w:eastAsia="宋体" w:hint="eastAsia"/>
          <w:color w:val="auto"/>
        </w:rPr>
        <w:t>3</w:t>
      </w:r>
      <w:r w:rsidR="002919A0">
        <w:rPr>
          <w:rFonts w:eastAsia="宋体" w:hint="eastAsia"/>
          <w:color w:val="auto"/>
        </w:rPr>
        <w:t>.</w:t>
      </w:r>
      <w:r w:rsidR="002919A0" w:rsidRPr="002919A0">
        <w:rPr>
          <w:rFonts w:eastAsia="宋体"/>
          <w:color w:val="auto"/>
          <w:sz w:val="21"/>
          <w:szCs w:val="24"/>
        </w:rPr>
        <w:t xml:space="preserve"> </w:t>
      </w:r>
      <w:r w:rsidR="002919A0" w:rsidRPr="002919A0">
        <w:rPr>
          <w:rFonts w:eastAsia="宋体"/>
          <w:color w:val="auto"/>
        </w:rPr>
        <w:t>数字藏品通常以非同质化代币（</w:t>
      </w:r>
      <w:r w:rsidR="002919A0" w:rsidRPr="002919A0">
        <w:rPr>
          <w:rFonts w:eastAsia="宋体"/>
          <w:color w:val="auto"/>
        </w:rPr>
        <w:t>NFT</w:t>
      </w:r>
      <w:r w:rsidR="002919A0" w:rsidRPr="002919A0">
        <w:rPr>
          <w:rFonts w:eastAsia="宋体"/>
          <w:color w:val="auto"/>
        </w:rPr>
        <w:t>）的形式存在，依托区块链技术确保其唯一性和所有权。区块链技术的去中心化、不可篡改以及</w:t>
      </w:r>
      <w:proofErr w:type="gramStart"/>
      <w:r w:rsidR="002919A0" w:rsidRPr="002919A0">
        <w:rPr>
          <w:rFonts w:eastAsia="宋体"/>
          <w:color w:val="auto"/>
        </w:rPr>
        <w:t>透明可</w:t>
      </w:r>
      <w:proofErr w:type="gramEnd"/>
      <w:r w:rsidR="002919A0" w:rsidRPr="002919A0">
        <w:rPr>
          <w:rFonts w:eastAsia="宋体"/>
          <w:color w:val="auto"/>
        </w:rPr>
        <w:t>追溯的特性，使得数字藏品的所有权和交易过程都得以有效记录，确保了数字藏品的唯一性和交易的公正性。</w:t>
      </w:r>
    </w:p>
    <w:p w14:paraId="1D5AAAFF" w14:textId="77777777" w:rsidR="002919A0" w:rsidRDefault="002919A0">
      <w:pPr>
        <w:pStyle w:val="a8"/>
        <w:rPr>
          <w:rFonts w:eastAsia="宋体"/>
          <w:color w:val="auto"/>
        </w:rPr>
      </w:pPr>
      <w:r w:rsidRPr="002919A0">
        <w:rPr>
          <w:rFonts w:eastAsia="宋体"/>
          <w:color w:val="auto"/>
        </w:rPr>
        <w:t>目前，数字藏品广泛应用于艺术品、音乐、视频、虚拟土地等多个</w:t>
      </w:r>
      <w:r w:rsidRPr="002919A0">
        <w:rPr>
          <w:rFonts w:eastAsia="宋体"/>
          <w:color w:val="auto"/>
        </w:rPr>
        <w:lastRenderedPageBreak/>
        <w:t>领域，通过区块链技术记录其元数据和交易记录，并将其转化为可交易的数字资产。然而，随着数字藏品市场的火爆，过度炒作和市场泡沫逐渐浮现，部分数字藏品的价格不合理飙升，导致公众对其投资价值产生疑虑。现有技术中，虽然存在一些数字藏品交易平台，但多数平台缺乏有效的市场监管机制，交易规则松散，导致不法行为频发。</w:t>
      </w:r>
    </w:p>
    <w:p w14:paraId="312076E3" w14:textId="5E311E0C" w:rsidR="002919A0" w:rsidRDefault="002919A0">
      <w:pPr>
        <w:pStyle w:val="a8"/>
        <w:rPr>
          <w:rFonts w:eastAsia="宋体"/>
          <w:color w:val="auto"/>
        </w:rPr>
      </w:pPr>
      <w:r w:rsidRPr="002919A0">
        <w:rPr>
          <w:rFonts w:eastAsia="宋体"/>
          <w:color w:val="auto"/>
        </w:rPr>
        <w:t>因此，数字藏品交易的规范化已成为行业发展的瓶颈。现有技术未能提出一种行之有效的解决方案来限制数字藏品的过度炒作，并确保市场秩序的稳定。本发明的提出正是为了解决这一技术问题，通过设定一系列交易规则和限制措施，减少炒作行为，规范数字藏品市场的运行机制。</w:t>
      </w:r>
    </w:p>
    <w:p w14:paraId="76A9848A" w14:textId="34E33E2D" w:rsidR="002919A0" w:rsidRDefault="00566785">
      <w:pPr>
        <w:pStyle w:val="a8"/>
        <w:rPr>
          <w:rFonts w:eastAsia="宋体"/>
          <w:color w:val="auto"/>
        </w:rPr>
      </w:pPr>
      <w:r>
        <w:rPr>
          <w:rFonts w:eastAsia="宋体" w:hint="eastAsia"/>
          <w:color w:val="auto"/>
        </w:rPr>
        <w:t>4</w:t>
      </w:r>
      <w:r w:rsidR="002919A0">
        <w:rPr>
          <w:rFonts w:eastAsia="宋体" w:hint="eastAsia"/>
          <w:color w:val="auto"/>
        </w:rPr>
        <w:t>.</w:t>
      </w:r>
      <w:r w:rsidR="002919A0" w:rsidRPr="002919A0">
        <w:rPr>
          <w:rFonts w:eastAsia="宋体"/>
          <w:color w:val="auto"/>
          <w:sz w:val="21"/>
          <w:szCs w:val="24"/>
        </w:rPr>
        <w:t xml:space="preserve"> </w:t>
      </w:r>
      <w:r w:rsidR="002919A0" w:rsidRPr="002919A0">
        <w:rPr>
          <w:rFonts w:eastAsia="宋体"/>
          <w:color w:val="auto"/>
        </w:rPr>
        <w:t>本发明的目的在于提供一种基于区块链技术的数字藏品规范化交易系统及方法，通过对数字藏品的转账时间间隔、转账次数、转账权限和动态转账税收等进行限制，减少数字藏品领域的过度炒作行为，推动健康有序的市场发展。</w:t>
      </w:r>
    </w:p>
    <w:p w14:paraId="388CC8EB" w14:textId="77777777" w:rsidR="002919A0" w:rsidRDefault="002919A0">
      <w:pPr>
        <w:pStyle w:val="a8"/>
        <w:rPr>
          <w:rFonts w:eastAsia="宋体"/>
          <w:color w:val="auto"/>
        </w:rPr>
      </w:pPr>
      <w:r w:rsidRPr="002919A0">
        <w:rPr>
          <w:rFonts w:eastAsia="宋体"/>
          <w:color w:val="auto"/>
        </w:rPr>
        <w:t>具体而言，本发明的方案包括以下几项核心技术措施：首先，设计了数字藏品的转账时间间隔，通过对转账时间的限制，降低数字藏品的流动速度，避免频繁的炒作行为。</w:t>
      </w:r>
    </w:p>
    <w:p w14:paraId="01D714EF" w14:textId="77777777" w:rsidR="002919A0" w:rsidRDefault="002919A0">
      <w:pPr>
        <w:pStyle w:val="a8"/>
        <w:rPr>
          <w:rFonts w:eastAsia="宋体"/>
          <w:color w:val="auto"/>
        </w:rPr>
      </w:pPr>
      <w:r w:rsidRPr="002919A0">
        <w:rPr>
          <w:rFonts w:eastAsia="宋体"/>
          <w:color w:val="auto"/>
        </w:rPr>
        <w:t>其次，设置了数字藏品转账次数的上限，通过限制每个数字藏品的最大转账次数，有效防止数字藏品的快速流通，避免市场上因过度买卖而导致价格虚高。</w:t>
      </w:r>
    </w:p>
    <w:p w14:paraId="0407C0CD" w14:textId="77777777" w:rsidR="002919A0" w:rsidRDefault="002919A0">
      <w:pPr>
        <w:pStyle w:val="a8"/>
        <w:rPr>
          <w:rFonts w:eastAsia="宋体"/>
          <w:color w:val="auto"/>
        </w:rPr>
      </w:pPr>
      <w:r w:rsidRPr="002919A0">
        <w:rPr>
          <w:rFonts w:eastAsia="宋体"/>
          <w:color w:val="auto"/>
        </w:rPr>
        <w:t>第三，提出了数字藏品转账地址权限的设计方案，根据不同用户的权限，灵活控制其转账操作的权限，防止非授权用户进行非法交易。</w:t>
      </w:r>
    </w:p>
    <w:p w14:paraId="3063A8B6" w14:textId="44296B57" w:rsidR="002919A0" w:rsidRDefault="002919A0">
      <w:pPr>
        <w:pStyle w:val="a8"/>
        <w:rPr>
          <w:rFonts w:eastAsia="宋体" w:hint="eastAsia"/>
          <w:color w:val="auto"/>
        </w:rPr>
      </w:pPr>
      <w:r w:rsidRPr="002919A0">
        <w:rPr>
          <w:rFonts w:eastAsia="宋体"/>
          <w:color w:val="auto"/>
        </w:rPr>
        <w:t>最后，本发明还引入了动态转账税收设计，交易次数越多，转账税收比例越高，借此引导用户理性交易，减少恶意炒作。本发明的技术方案通过四个方面的限制措施，全面规范了数字藏品交易，有效提升了市场的稳定性与透明度。</w:t>
      </w:r>
    </w:p>
    <w:p w14:paraId="7464D2B5" w14:textId="5ACD7774" w:rsidR="002919A0" w:rsidRDefault="00566785">
      <w:pPr>
        <w:pStyle w:val="a8"/>
        <w:rPr>
          <w:rFonts w:eastAsia="宋体"/>
          <w:color w:val="auto"/>
        </w:rPr>
      </w:pPr>
      <w:r>
        <w:rPr>
          <w:rFonts w:eastAsia="宋体" w:hint="eastAsia"/>
          <w:color w:val="auto"/>
        </w:rPr>
        <w:t>5</w:t>
      </w:r>
      <w:r w:rsidR="002919A0">
        <w:rPr>
          <w:rFonts w:eastAsia="宋体" w:hint="eastAsia"/>
          <w:color w:val="auto"/>
        </w:rPr>
        <w:t>.</w:t>
      </w:r>
      <w:r w:rsidR="002919A0" w:rsidRPr="002919A0">
        <w:rPr>
          <w:rFonts w:eastAsia="宋体"/>
          <w:color w:val="auto"/>
          <w:sz w:val="21"/>
          <w:szCs w:val="24"/>
        </w:rPr>
        <w:t xml:space="preserve"> </w:t>
      </w:r>
      <w:r w:rsidR="002919A0" w:rsidRPr="002919A0">
        <w:rPr>
          <w:rFonts w:eastAsia="宋体"/>
          <w:color w:val="auto"/>
        </w:rPr>
        <w:t>本发明的数字藏品规范化交易系统，主要通过在区块链上实现智能合约，结合链码、脚本代码等技术手段，完成对数字藏品交易的限制</w:t>
      </w:r>
      <w:r w:rsidR="002919A0" w:rsidRPr="002919A0">
        <w:rPr>
          <w:rFonts w:eastAsia="宋体"/>
          <w:color w:val="auto"/>
        </w:rPr>
        <w:lastRenderedPageBreak/>
        <w:t>和管理。具体而言，系统包括以下几部分：首先，在数字藏品创建阶段，创作者可根据自身需求设置数字藏品的转账时间间隔、转账次数等参数。用户在购买数字藏品后，系统会自动判断是否满足转账条件，如果不符合条件，则禁止转账操作。</w:t>
      </w:r>
    </w:p>
    <w:p w14:paraId="1551503D" w14:textId="77777777" w:rsidR="002919A0" w:rsidRDefault="002919A0">
      <w:pPr>
        <w:pStyle w:val="a8"/>
        <w:rPr>
          <w:rFonts w:eastAsia="宋体"/>
          <w:color w:val="auto"/>
        </w:rPr>
      </w:pPr>
      <w:r w:rsidRPr="002919A0">
        <w:rPr>
          <w:rFonts w:eastAsia="宋体"/>
          <w:color w:val="auto"/>
        </w:rPr>
        <w:t>其次，系统设计了最大转账次数限制，当数字藏品的转账次数达到上限时，最后一次转账会触发数字藏品的销毁机制，防止用户进行过度炒作。</w:t>
      </w:r>
    </w:p>
    <w:p w14:paraId="1A11E603" w14:textId="31A4AB6D" w:rsidR="002919A0" w:rsidRDefault="002919A0">
      <w:pPr>
        <w:pStyle w:val="a8"/>
        <w:rPr>
          <w:rFonts w:eastAsia="宋体" w:hint="eastAsia"/>
          <w:color w:val="auto"/>
        </w:rPr>
      </w:pPr>
      <w:r w:rsidRPr="002919A0">
        <w:rPr>
          <w:rFonts w:eastAsia="宋体"/>
          <w:color w:val="auto"/>
        </w:rPr>
        <w:t>第三，系统为不同角色的用户设计了权限控制机制。通过设置权限管理，创作者和管理员可以对特定用户的转账权限进行调整，以满足市场运营的需要。最后，系统通过智能合约设计，实时计算动态转账税收，并根据交易次数自动调整税收比例，确保用户在每次交易时支付合理的税费。这一系列实施措施能够有效规范数字藏品的交易行为，确保市场秩序的稳定。</w:t>
      </w:r>
    </w:p>
    <w:p w14:paraId="4C919462" w14:textId="77777777" w:rsidR="00C73581" w:rsidRDefault="00C73581">
      <w:pPr>
        <w:pStyle w:val="a8"/>
        <w:rPr>
          <w:rFonts w:eastAsia="宋体"/>
          <w:color w:val="auto"/>
        </w:rPr>
      </w:pPr>
    </w:p>
    <w:p w14:paraId="07F64F3E" w14:textId="77777777" w:rsidR="00C73581" w:rsidRDefault="00C73581">
      <w:pPr>
        <w:pStyle w:val="a8"/>
        <w:rPr>
          <w:rFonts w:eastAsia="宋体"/>
          <w:color w:val="auto"/>
        </w:rPr>
      </w:pPr>
    </w:p>
    <w:p w14:paraId="0F4AB69F" w14:textId="77777777" w:rsidR="00C73581" w:rsidRDefault="00C73581">
      <w:pPr>
        <w:pStyle w:val="a8"/>
        <w:ind w:firstLine="0"/>
        <w:rPr>
          <w:rFonts w:eastAsia="宋体"/>
          <w:color w:val="auto"/>
        </w:rPr>
      </w:pPr>
    </w:p>
    <w:p w14:paraId="404CB4F9" w14:textId="77777777" w:rsidR="00C73581" w:rsidRDefault="00C73581">
      <w:pPr>
        <w:spacing w:line="460" w:lineRule="exact"/>
        <w:ind w:firstLine="560"/>
        <w:rPr>
          <w:sz w:val="28"/>
          <w:szCs w:val="28"/>
        </w:rPr>
        <w:sectPr w:rsidR="00C73581">
          <w:footerReference w:type="default" r:id="rId11"/>
          <w:pgSz w:w="11906" w:h="16838"/>
          <w:pgMar w:top="1418" w:right="1418" w:bottom="851" w:left="1701" w:header="851" w:footer="964" w:gutter="0"/>
          <w:lnNumType w:countBy="5"/>
          <w:pgNumType w:start="1"/>
          <w:cols w:space="720"/>
          <w:docGrid w:type="lines" w:linePitch="312"/>
        </w:sectPr>
      </w:pPr>
    </w:p>
    <w:p w14:paraId="59C78BAC" w14:textId="77777777" w:rsidR="00C73581" w:rsidRDefault="00000000">
      <w:pPr>
        <w:pStyle w:val="a6"/>
        <w:rPr>
          <w:rFonts w:ascii="Times New Roman" w:hAnsi="Times New Roman"/>
        </w:rPr>
      </w:pPr>
      <w:r>
        <w:rPr>
          <w:rFonts w:ascii="Times New Roman" w:hAnsi="Times New Roman"/>
        </w:rPr>
        <w:lastRenderedPageBreak/>
        <w:t>说</w:t>
      </w:r>
      <w:r>
        <w:rPr>
          <w:rFonts w:ascii="Times New Roman" w:hAnsi="Times New Roman"/>
        </w:rPr>
        <w:t xml:space="preserve">      </w:t>
      </w:r>
      <w:r>
        <w:rPr>
          <w:rFonts w:ascii="Times New Roman" w:hAnsi="Times New Roman"/>
        </w:rPr>
        <w:t>明</w:t>
      </w:r>
      <w:r>
        <w:rPr>
          <w:rFonts w:ascii="Times New Roman" w:hAnsi="Times New Roman"/>
        </w:rPr>
        <w:t xml:space="preserve">      </w:t>
      </w:r>
      <w:r>
        <w:rPr>
          <w:rFonts w:ascii="Times New Roman" w:hAnsi="Times New Roman"/>
        </w:rPr>
        <w:t>书</w:t>
      </w:r>
      <w:r>
        <w:rPr>
          <w:rFonts w:ascii="Times New Roman" w:hAnsi="Times New Roman"/>
        </w:rPr>
        <w:t xml:space="preserve">    </w:t>
      </w:r>
      <w:r>
        <w:rPr>
          <w:rFonts w:ascii="Times New Roman" w:hAnsi="Times New Roman"/>
          <w:sz w:val="21"/>
          <w:szCs w:val="21"/>
        </w:rPr>
        <w:t xml:space="preserve"> </w:t>
      </w:r>
      <w:r>
        <w:rPr>
          <w:rFonts w:ascii="Times New Roman" w:hAnsi="Times New Roman"/>
          <w:noProof/>
        </w:rPr>
        <mc:AlternateContent>
          <mc:Choice Requires="wps">
            <w:drawing>
              <wp:anchor distT="0" distB="0" distL="114300" distR="114300" simplePos="0" relativeHeight="251662336" behindDoc="0" locked="0" layoutInCell="1" allowOverlap="1" wp14:anchorId="69E536DF" wp14:editId="19770578">
                <wp:simplePos x="0" y="0"/>
                <wp:positionH relativeFrom="column">
                  <wp:posOffset>4592955</wp:posOffset>
                </wp:positionH>
                <wp:positionV relativeFrom="paragraph">
                  <wp:posOffset>67945</wp:posOffset>
                </wp:positionV>
                <wp:extent cx="1118870" cy="287655"/>
                <wp:effectExtent l="0" t="0" r="0" b="0"/>
                <wp:wrapNone/>
                <wp:docPr id="4" name="文本框 49"/>
                <wp:cNvGraphicFramePr/>
                <a:graphic xmlns:a="http://schemas.openxmlformats.org/drawingml/2006/main">
                  <a:graphicData uri="http://schemas.microsoft.com/office/word/2010/wordprocessingShape">
                    <wps:wsp>
                      <wps:cNvSpPr txBox="1"/>
                      <wps:spPr>
                        <a:xfrm>
                          <a:off x="0" y="0"/>
                          <a:ext cx="1118870" cy="287655"/>
                        </a:xfrm>
                        <a:prstGeom prst="rect">
                          <a:avLst/>
                        </a:prstGeom>
                        <a:noFill/>
                        <a:ln>
                          <a:noFill/>
                        </a:ln>
                      </wps:spPr>
                      <wps:txbx>
                        <w:txbxContent>
                          <w:p w14:paraId="016C7056" w14:textId="77777777" w:rsidR="00C73581" w:rsidRDefault="00000000">
                            <w:r>
                              <w:rPr>
                                <w:rFonts w:hint="eastAsia"/>
                              </w:rPr>
                              <w:t>GG221116182A</w:t>
                            </w:r>
                          </w:p>
                        </w:txbxContent>
                      </wps:txbx>
                      <wps:bodyPr wrap="square" upright="1"/>
                    </wps:wsp>
                  </a:graphicData>
                </a:graphic>
              </wp:anchor>
            </w:drawing>
          </mc:Choice>
          <mc:Fallback>
            <w:pict>
              <v:shape w14:anchorId="69E536DF" id="文本框 49" o:spid="_x0000_s1029" type="#_x0000_t202" style="position:absolute;left:0;text-align:left;margin-left:361.65pt;margin-top:5.35pt;width:88.1pt;height:22.6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" filled="f" stroked="f">
                <v:textbox>
                  <w:txbxContent>
                    <w:p w14:paraId="016C7056" w14:textId="77777777" w:rsidR="00C73581" w:rsidRDefault="00000000">
                      <w:r>
                        <w:rPr>
                          <w:rFonts w:hint="eastAsia"/>
                        </w:rPr>
                        <w:t>GG221116182A</w:t>
                      </w:r>
                    </w:p>
                  </w:txbxContent>
                </v:textbox>
              </v:shape>
            </w:pict>
          </mc:Fallback>
        </mc:AlternateContent>
      </w:r>
    </w:p>
    <w:p w14:paraId="57462FCE" w14:textId="77777777" w:rsidR="00C73581" w:rsidRDefault="00C73581">
      <w:pPr>
        <w:pStyle w:val="a9"/>
        <w:spacing w:before="0"/>
        <w:jc w:val="both"/>
        <w:rPr>
          <w:rFonts w:ascii="Times New Roman" w:hAnsi="Times New Roman"/>
        </w:rPr>
      </w:pPr>
    </w:p>
    <w:p w14:paraId="3AA4E860" w14:textId="77777777" w:rsidR="00C73581" w:rsidRDefault="00000000">
      <w:pPr>
        <w:pStyle w:val="a9"/>
        <w:spacing w:before="0"/>
        <w:rPr>
          <w:rFonts w:ascii="Times New Roman" w:hAnsi="Times New Roman"/>
        </w:rPr>
      </w:pPr>
      <w:r>
        <w:rPr>
          <w:rFonts w:ascii="Times New Roman" w:hAnsi="Times New Roman" w:hint="eastAsia"/>
        </w:rPr>
        <w:t>用于规范区块链数字藏品交易的限制性设计与实现方案</w:t>
      </w:r>
    </w:p>
    <w:p w14:paraId="63736BFC" w14:textId="77777777" w:rsidR="00C73581" w:rsidRDefault="00C73581"/>
    <w:p w14:paraId="5E029CD4" w14:textId="77777777" w:rsidR="00C73581" w:rsidRDefault="00000000">
      <w:pPr>
        <w:pStyle w:val="aa"/>
        <w:spacing w:before="156"/>
        <w:rPr>
          <w:rFonts w:ascii="Times New Roman" w:hAnsi="Times New Roman"/>
          <w:szCs w:val="28"/>
        </w:rPr>
      </w:pPr>
      <w:r>
        <w:rPr>
          <w:rFonts w:ascii="Times New Roman" w:hAnsi="Times New Roman"/>
          <w:szCs w:val="28"/>
        </w:rPr>
        <w:t>技术领域</w:t>
      </w:r>
    </w:p>
    <w:p w14:paraId="38A4EF5A" w14:textId="75D1BAE5" w:rsidR="00566785" w:rsidRPr="00566785" w:rsidRDefault="00566785" w:rsidP="00566785">
      <w:pPr>
        <w:pStyle w:val="a8"/>
        <w:rPr>
          <w:rFonts w:ascii="宋体" w:eastAsia="宋体" w:hAnsi="宋体"/>
        </w:rPr>
      </w:pPr>
      <w:r w:rsidRPr="00566785">
        <w:rPr>
          <w:rFonts w:ascii="宋体" w:eastAsia="宋体" w:hAnsi="宋体"/>
        </w:rPr>
        <w:t>本发明涉及区块链技术领域，特别是与数字藏品交易相关的技术实现方案。具体而言，本发明提供了一种利用区块链技术对数字藏品进行规范化交易的方案，旨在通过区块链的去中心化特性、不可篡改的账本和智能合约技术，确保数字藏品交易的安全性、透明性和公平性。</w:t>
      </w:r>
    </w:p>
    <w:p w14:paraId="2A7F1980" w14:textId="77777777" w:rsidR="00566785" w:rsidRPr="00566785" w:rsidRDefault="00566785" w:rsidP="00566785">
      <w:pPr>
        <w:pStyle w:val="a8"/>
        <w:rPr>
          <w:rFonts w:ascii="宋体" w:eastAsia="宋体" w:hAnsi="宋体"/>
        </w:rPr>
      </w:pPr>
      <w:r w:rsidRPr="00566785">
        <w:rPr>
          <w:rFonts w:ascii="宋体" w:eastAsia="宋体" w:hAnsi="宋体"/>
        </w:rPr>
        <w:t>数字藏品，通常通过非同质化代币（NFT）进行代表，广泛应用于艺术、娱乐、游戏等领域。随着数字藏品市场的快速发展，尤其是艺术品、虚拟土地和其他数字资产的交易，越来越多的创作者、投资者和平台参与其中。然而，随着数字藏品的市场规模不断扩大，交易行为中的过度炒作、虚假交易和价格波动等问题也逐渐显现出来。因此，如何规范数字藏品的交易、确保交易行为符合市场公正和稳定，成为了当前区块链应用领域中的一大挑战。</w:t>
      </w:r>
    </w:p>
    <w:p w14:paraId="69021A1D" w14:textId="77777777" w:rsidR="00566785" w:rsidRPr="00566785" w:rsidRDefault="00566785" w:rsidP="00566785">
      <w:pPr>
        <w:pStyle w:val="a8"/>
        <w:rPr>
          <w:rFonts w:ascii="宋体" w:eastAsia="宋体" w:hAnsi="宋体"/>
        </w:rPr>
      </w:pPr>
      <w:r w:rsidRPr="00566785">
        <w:rPr>
          <w:rFonts w:ascii="宋体" w:eastAsia="宋体" w:hAnsi="宋体"/>
        </w:rPr>
        <w:t>本发明通过对数字藏品交易过程中的各类行为进行严格约束，从而减少过度炒作行为，保护市场参与者的合法利益，推动健康、可持续的市场发展。具体而言，本发明设计了一种结合区块链智能合约技术、用户角色管理、转账限制、动态税收等技术手段的解决方案，能够在数字藏品交易过程中对不符合规范的行为进行有效限制和惩罚，确保交易活动符合预定规则。</w:t>
      </w:r>
    </w:p>
    <w:p w14:paraId="10B0C9D7" w14:textId="77777777" w:rsidR="00566785" w:rsidRPr="00566785" w:rsidRDefault="00566785" w:rsidP="00566785">
      <w:pPr>
        <w:pStyle w:val="a8"/>
      </w:pPr>
      <w:r w:rsidRPr="00566785">
        <w:rPr>
          <w:rFonts w:ascii="宋体" w:eastAsia="宋体" w:hAnsi="宋体"/>
        </w:rPr>
        <w:t>通过本发明提出的技术方案，数字藏品市场将能够更加规范、有序地运行，为用户提供一个更加稳定、安全的交易环境，同时提升区块链技术在数字藏品领域的应用价值。</w:t>
      </w:r>
    </w:p>
    <w:p w14:paraId="25475BA4" w14:textId="693C07E2" w:rsidR="00C73581" w:rsidRDefault="00C73581">
      <w:pPr>
        <w:pStyle w:val="a8"/>
        <w:rPr>
          <w:rFonts w:eastAsia="宋体"/>
          <w:color w:val="auto"/>
          <w:sz w:val="21"/>
          <w:szCs w:val="24"/>
        </w:rPr>
      </w:pPr>
    </w:p>
    <w:p w14:paraId="3D936843" w14:textId="77777777" w:rsidR="00C73581" w:rsidRDefault="00000000">
      <w:pPr>
        <w:pStyle w:val="aa"/>
        <w:spacing w:before="156"/>
        <w:rPr>
          <w:rFonts w:ascii="Times New Roman" w:eastAsia="宋体" w:hAnsi="Times New Roman"/>
        </w:rPr>
      </w:pPr>
      <w:r>
        <w:rPr>
          <w:rFonts w:ascii="Times New Roman" w:hAnsi="Times New Roman"/>
          <w:szCs w:val="28"/>
        </w:rPr>
        <w:t>背景技术</w:t>
      </w:r>
    </w:p>
    <w:p w14:paraId="5129CAA8" w14:textId="5E488EC9" w:rsidR="00566785" w:rsidRPr="00566785" w:rsidRDefault="00566785" w:rsidP="00566785">
      <w:pPr>
        <w:pStyle w:val="a8"/>
        <w:rPr>
          <w:rFonts w:ascii="宋体" w:eastAsia="宋体" w:hAnsi="宋体"/>
        </w:rPr>
      </w:pPr>
      <w:r w:rsidRPr="00566785">
        <w:rPr>
          <w:rFonts w:ascii="宋体" w:eastAsia="宋体" w:hAnsi="宋体"/>
        </w:rPr>
        <w:lastRenderedPageBreak/>
        <w:t>区块链技术，作为一种去中心化的分布式账本技术，因其去中心化、不可篡改和</w:t>
      </w:r>
      <w:proofErr w:type="gramStart"/>
      <w:r w:rsidRPr="00566785">
        <w:rPr>
          <w:rFonts w:ascii="宋体" w:eastAsia="宋体" w:hAnsi="宋体"/>
        </w:rPr>
        <w:t>透明可</w:t>
      </w:r>
      <w:proofErr w:type="gramEnd"/>
      <w:r w:rsidRPr="00566785">
        <w:rPr>
          <w:rFonts w:ascii="宋体" w:eastAsia="宋体" w:hAnsi="宋体"/>
        </w:rPr>
        <w:t>追溯的特性，近年来得到了广泛应用，尤其是在金融、物流、医疗、供应链管理、数字身份认证等多个领域。区块链通过去除中介机构，使得数据的存储和验证更加透明和高效，同时由于其数据不可篡改的特性，保障了系统的安全性和可靠性。区块链技术最初应用于数字货币（如比特币）中，但随着技术的不断发展，其应用场景已经从单一的加密货币扩展到智能合约、去中心化金融（DeFi）、数字资产和数字藏品等领域。</w:t>
      </w:r>
    </w:p>
    <w:p w14:paraId="4B505E01" w14:textId="77777777" w:rsidR="00566785" w:rsidRPr="00566785" w:rsidRDefault="00566785" w:rsidP="00566785">
      <w:pPr>
        <w:pStyle w:val="a8"/>
        <w:rPr>
          <w:rFonts w:ascii="宋体" w:eastAsia="宋体" w:hAnsi="宋体"/>
        </w:rPr>
      </w:pPr>
      <w:r w:rsidRPr="00566785">
        <w:rPr>
          <w:rFonts w:ascii="宋体" w:eastAsia="宋体" w:hAnsi="宋体"/>
        </w:rPr>
        <w:t>近年来，</w:t>
      </w:r>
      <w:r w:rsidRPr="00566785">
        <w:rPr>
          <w:rFonts w:ascii="宋体" w:eastAsia="宋体" w:hAnsi="宋体"/>
          <w:b/>
          <w:bCs/>
        </w:rPr>
        <w:t>数字藏品</w:t>
      </w:r>
      <w:r w:rsidRPr="00566785">
        <w:rPr>
          <w:rFonts w:ascii="宋体" w:eastAsia="宋体" w:hAnsi="宋体"/>
        </w:rPr>
        <w:t>作为一种新兴的数字资产形式，受到越来越多的关注和应用，特别是艺术品、音乐、视频、虚拟土地等领域的数字产品。这些数字藏品通常以非同质化代币（NFT）的形式存在，并通过区块链技术确保其唯一性、所有权及交易的安全性。NFT与传统的加密货币不同，具有独特的标识符，每个代币都代表一个独一无二的资产，不能被替代或等值交换。这一特点使得数字藏品在艺术、娱乐、游戏等领域的应用愈加广泛。例如，艺术作品的数字化形式、音乐作品、短视频、虚拟土地等，都可以通过NFT的形式进行标记和交易。</w:t>
      </w:r>
    </w:p>
    <w:p w14:paraId="6533376F" w14:textId="77777777" w:rsidR="00566785" w:rsidRPr="00566785" w:rsidRDefault="00566785" w:rsidP="00566785">
      <w:pPr>
        <w:pStyle w:val="a8"/>
        <w:rPr>
          <w:rFonts w:ascii="宋体" w:eastAsia="宋体" w:hAnsi="宋体"/>
        </w:rPr>
      </w:pPr>
      <w:r w:rsidRPr="00566785">
        <w:rPr>
          <w:rFonts w:ascii="宋体" w:eastAsia="宋体" w:hAnsi="宋体"/>
        </w:rPr>
        <w:t>数字藏品的唯一性和所有权信息通过区块链技术得以验证和存储。具体而言，数字藏品的元数据、所有权记录以及转账信息被存储在区块链上，并通过加密算法生成唯一的哈希值，这些数据无法篡改或伪造。每个数字藏品的所有权记录和历史交易信息都通过智能合约进行维护和验证，确保其真实性和不可伪造性。区块链技术中的分布式账本由多个节点共同维护，任何一方都无法单独篡改数据，这使得数字藏品的所有权和转账记录得到了严格保护。</w:t>
      </w:r>
    </w:p>
    <w:p w14:paraId="78E28CD0" w14:textId="77777777" w:rsidR="00566785" w:rsidRPr="00566785" w:rsidRDefault="00566785" w:rsidP="00566785">
      <w:pPr>
        <w:pStyle w:val="a8"/>
        <w:rPr>
          <w:rFonts w:ascii="宋体" w:eastAsia="宋体" w:hAnsi="宋体"/>
        </w:rPr>
      </w:pPr>
      <w:r w:rsidRPr="00566785">
        <w:rPr>
          <w:rFonts w:ascii="宋体" w:eastAsia="宋体" w:hAnsi="宋体"/>
        </w:rPr>
        <w:t xml:space="preserve">此外，数字藏品的实际内容（如图片、视频、音频文件等）通常并不直接存储在区块链上，而是采用类似 </w:t>
      </w:r>
      <w:r w:rsidRPr="00566785">
        <w:rPr>
          <w:rFonts w:ascii="宋体" w:eastAsia="宋体" w:hAnsi="宋体"/>
          <w:b/>
          <w:bCs/>
        </w:rPr>
        <w:t>IPFS</w:t>
      </w:r>
      <w:r w:rsidRPr="00566785">
        <w:rPr>
          <w:rFonts w:ascii="宋体" w:eastAsia="宋体" w:hAnsi="宋体"/>
        </w:rPr>
        <w:t>（</w:t>
      </w:r>
      <w:proofErr w:type="spellStart"/>
      <w:r w:rsidRPr="00566785">
        <w:rPr>
          <w:rFonts w:ascii="宋体" w:eastAsia="宋体" w:hAnsi="宋体"/>
        </w:rPr>
        <w:t>InterPlanetary</w:t>
      </w:r>
      <w:proofErr w:type="spellEnd"/>
      <w:r w:rsidRPr="00566785">
        <w:rPr>
          <w:rFonts w:ascii="宋体" w:eastAsia="宋体" w:hAnsi="宋体"/>
        </w:rPr>
        <w:t xml:space="preserve"> File System，星际文件系统）等分布式文件存储系统。这些内容文件被存储在分布式网络中的多个节点上，避免了传统中心化存储的单点故障问题，同时通过多节点的冗余存储，确保了文件的持久性和可靠性。IPFS等技</w:t>
      </w:r>
      <w:r w:rsidRPr="00566785">
        <w:rPr>
          <w:rFonts w:ascii="宋体" w:eastAsia="宋体" w:hAnsi="宋体"/>
        </w:rPr>
        <w:lastRenderedPageBreak/>
        <w:t>术不仅解决了大文件存储的问题，还通过内容地址化的方式，使得每个数字藏品的内容与其在区块链上的标识符（即NFT）相对应，进一步加强了数字藏品的唯一性和不可篡改性。</w:t>
      </w:r>
    </w:p>
    <w:p w14:paraId="2641128E" w14:textId="77777777" w:rsidR="00566785" w:rsidRPr="00566785" w:rsidRDefault="00566785" w:rsidP="00566785">
      <w:pPr>
        <w:pStyle w:val="a8"/>
        <w:rPr>
          <w:rFonts w:ascii="宋体" w:eastAsia="宋体" w:hAnsi="宋体"/>
        </w:rPr>
      </w:pPr>
      <w:r w:rsidRPr="00566785">
        <w:rPr>
          <w:rFonts w:ascii="宋体" w:eastAsia="宋体" w:hAnsi="宋体"/>
        </w:rPr>
        <w:t>然而，尽管数字藏品技术在保障唯一性、所有权和数据透明性方面具有显著优势，但随着数字藏品市场的蓬勃发展，部分市场参与者通过过度炒作来提高某些数字藏品的市场价值，导致了市场的不稳定性。例如，有些数字藏品被反复交易，短时间内价格波动剧烈，而这一切并非基于内容的真实价值，而是由于炒作行为导致的虚高。这种过度炒作行为，不仅扰乱了市场秩序，还可能导致公众对数字藏品的价值产生误解，甚至产生对整个数字藏品市场的不信任。</w:t>
      </w:r>
    </w:p>
    <w:p w14:paraId="2971A954" w14:textId="77777777" w:rsidR="00566785" w:rsidRPr="00566785" w:rsidRDefault="00566785" w:rsidP="00566785">
      <w:pPr>
        <w:pStyle w:val="a8"/>
        <w:rPr>
          <w:rFonts w:ascii="宋体" w:eastAsia="宋体" w:hAnsi="宋体"/>
        </w:rPr>
      </w:pPr>
      <w:r w:rsidRPr="00566785">
        <w:rPr>
          <w:rFonts w:ascii="宋体" w:eastAsia="宋体" w:hAnsi="宋体"/>
        </w:rPr>
        <w:t>过度炒作的主要原因之一是缺乏有效的市场监管机制和交易规范。虽然区块链技术能够确保数字藏品的唯一性和所有权，但它并未直接限制某些不良交易行为，如频繁转手和恶意炒作。现有的数字藏品交易平台多数</w:t>
      </w:r>
      <w:proofErr w:type="gramStart"/>
      <w:r w:rsidRPr="00566785">
        <w:rPr>
          <w:rFonts w:ascii="宋体" w:eastAsia="宋体" w:hAnsi="宋体"/>
        </w:rPr>
        <w:t>仅关注</w:t>
      </w:r>
      <w:proofErr w:type="gramEnd"/>
      <w:r w:rsidRPr="00566785">
        <w:rPr>
          <w:rFonts w:ascii="宋体" w:eastAsia="宋体" w:hAnsi="宋体"/>
        </w:rPr>
        <w:t>资产的流通性和市场的短期热度，忽视了交易的规范性和市场的健康发展。因此，如何通过技术手段和市场规则来遏制过度炒作行为，成为了当前数字藏品行业亟待解决的核心问题之一。</w:t>
      </w:r>
    </w:p>
    <w:p w14:paraId="0879C9E5" w14:textId="77777777" w:rsidR="00566785" w:rsidRPr="00566785" w:rsidRDefault="00566785" w:rsidP="00566785">
      <w:pPr>
        <w:pStyle w:val="a8"/>
        <w:rPr>
          <w:rFonts w:ascii="宋体" w:eastAsia="宋体" w:hAnsi="宋体"/>
        </w:rPr>
      </w:pPr>
      <w:r w:rsidRPr="00566785">
        <w:rPr>
          <w:rFonts w:ascii="宋体" w:eastAsia="宋体" w:hAnsi="宋体"/>
        </w:rPr>
        <w:t>为了解决这一问题，规范数字藏品的交易行为，建立更加完善的市场规则，成为了技术发展的需求。具体来说，除了保持数字藏品交易的自由流通外，还应引入一定的交易限制，如转账间隔、转账次数等限制措施，通过这些措施限制过度的炒作行为，确保市场的理性发展。此外，基于区块链技术的透明性，交易过程的每一步都可以被追溯，增加了市场的可监管性，这为规范市场交易行为提供了有效的技术支持。</w:t>
      </w:r>
    </w:p>
    <w:p w14:paraId="43430984" w14:textId="77777777" w:rsidR="00566785" w:rsidRPr="00566785" w:rsidRDefault="00566785" w:rsidP="00566785">
      <w:pPr>
        <w:pStyle w:val="a8"/>
        <w:rPr>
          <w:rFonts w:ascii="宋体" w:eastAsia="宋体" w:hAnsi="宋体"/>
        </w:rPr>
      </w:pPr>
      <w:r w:rsidRPr="00566785">
        <w:rPr>
          <w:rFonts w:ascii="宋体" w:eastAsia="宋体" w:hAnsi="宋体"/>
        </w:rPr>
        <w:t>因此，如何在不影响数字藏品本身价值的基础上，设计一种既能保证交易的自由性，又能有效遏制炒作和投机行为的交易机制，成为了数字藏品市场发展的关键问题。本发明通过提出一套规范化的交易方案，利用区块链技术的去中心化特性和智能合约的自动化执行机制，制定了一系列限制性交易规则，以减少市场炒作，促进数字藏品市场的健康、可持续发展。</w:t>
      </w:r>
    </w:p>
    <w:p w14:paraId="10A9A0CC" w14:textId="7DD0F70C" w:rsidR="00C73581" w:rsidRDefault="00000000" w:rsidP="00566785">
      <w:pPr>
        <w:pStyle w:val="a8"/>
        <w:ind w:firstLine="0"/>
      </w:pPr>
      <w:r>
        <w:lastRenderedPageBreak/>
        <w:t>发明内容</w:t>
      </w:r>
    </w:p>
    <w:p w14:paraId="568A6A3B" w14:textId="77777777" w:rsidR="00C73581" w:rsidRDefault="00000000">
      <w:pPr>
        <w:pStyle w:val="a8"/>
        <w:rPr>
          <w:rFonts w:eastAsia="宋体"/>
          <w:color w:val="auto"/>
        </w:rPr>
      </w:pPr>
      <w:r>
        <w:rPr>
          <w:rFonts w:eastAsia="宋体" w:hint="eastAsia"/>
          <w:color w:val="auto"/>
        </w:rPr>
        <w:t>本发明的目的在于设计一整套关于规范化区块链数字藏品交易的方案，通过本方案对数字藏品交易进行限制，可以有效减少数字藏品领域的过度炒作的行为。</w:t>
      </w:r>
    </w:p>
    <w:p w14:paraId="171A3526" w14:textId="77777777" w:rsidR="00C73581" w:rsidRDefault="00000000">
      <w:pPr>
        <w:pStyle w:val="a8"/>
        <w:rPr>
          <w:rFonts w:eastAsia="宋体"/>
          <w:color w:val="auto"/>
        </w:rPr>
      </w:pPr>
      <w:r>
        <w:rPr>
          <w:rFonts w:eastAsia="宋体" w:hint="eastAsia"/>
          <w:color w:val="auto"/>
        </w:rPr>
        <w:t>本发明实例是这样实现的，限制数字藏品交易的方案具体从以下四个方面进行限制：数字藏品转账时间间隔、数字藏品转账次数、进行转账地址权限的设计和进行动态转账税收设计。具体包括以下步骤：</w:t>
      </w:r>
    </w:p>
    <w:p w14:paraId="6375B2DE" w14:textId="77777777" w:rsidR="00C73581" w:rsidRDefault="00000000">
      <w:pPr>
        <w:pStyle w:val="a8"/>
        <w:rPr>
          <w:rFonts w:eastAsia="宋体"/>
          <w:color w:val="auto"/>
        </w:rPr>
      </w:pPr>
      <w:r>
        <w:rPr>
          <w:rFonts w:eastAsia="宋体" w:hint="eastAsia"/>
          <w:color w:val="auto"/>
        </w:rPr>
        <w:t>步骤</w:t>
      </w:r>
      <w:r>
        <w:rPr>
          <w:rFonts w:eastAsia="宋体" w:hint="eastAsia"/>
          <w:color w:val="auto"/>
        </w:rPr>
        <w:t>A</w:t>
      </w:r>
      <w:r>
        <w:rPr>
          <w:rFonts w:eastAsia="宋体" w:hint="eastAsia"/>
          <w:color w:val="auto"/>
        </w:rPr>
        <w:t>、进行转账时间间隔的设计，在本专利的数字藏品代码中，任何人可以针对自己的项目，输入自认为合适的转账时间间隔的参数，单位是小时，那么就可以实现在设定参数为</w:t>
      </w:r>
      <w:r>
        <w:rPr>
          <w:rFonts w:eastAsia="宋体"/>
          <w:color w:val="auto"/>
        </w:rPr>
        <w:t>x</w:t>
      </w:r>
      <w:r>
        <w:rPr>
          <w:rFonts w:eastAsia="宋体" w:hint="eastAsia"/>
          <w:color w:val="auto"/>
        </w:rPr>
        <w:t>小时后，当用户</w:t>
      </w:r>
      <w:r>
        <w:rPr>
          <w:rFonts w:eastAsia="宋体"/>
          <w:color w:val="auto"/>
        </w:rPr>
        <w:t>a</w:t>
      </w:r>
      <w:r>
        <w:rPr>
          <w:rFonts w:eastAsia="宋体" w:hint="eastAsia"/>
          <w:color w:val="auto"/>
        </w:rPr>
        <w:t>买入此数字藏品，</w:t>
      </w:r>
      <w:r>
        <w:rPr>
          <w:rFonts w:eastAsia="宋体"/>
          <w:color w:val="auto"/>
        </w:rPr>
        <w:t>a</w:t>
      </w:r>
      <w:r>
        <w:rPr>
          <w:rFonts w:eastAsia="宋体" w:hint="eastAsia"/>
          <w:color w:val="auto"/>
        </w:rPr>
        <w:t>将无法在</w:t>
      </w:r>
      <w:r>
        <w:rPr>
          <w:rFonts w:eastAsia="宋体"/>
          <w:color w:val="auto"/>
        </w:rPr>
        <w:t>x</w:t>
      </w:r>
      <w:r>
        <w:rPr>
          <w:rFonts w:eastAsia="宋体" w:hint="eastAsia"/>
          <w:color w:val="auto"/>
        </w:rPr>
        <w:t>小时之内进行卖出或者转账的操作。通过转账时间的限制，可以大范围的降低数字藏品的流动速度，这是一个限制数字藏品过度炒作的基础性方案。</w:t>
      </w:r>
    </w:p>
    <w:p w14:paraId="355BD41A" w14:textId="77777777" w:rsidR="00C73581" w:rsidRDefault="00000000">
      <w:pPr>
        <w:pStyle w:val="a8"/>
        <w:rPr>
          <w:rFonts w:eastAsia="宋体"/>
          <w:color w:val="auto"/>
        </w:rPr>
      </w:pPr>
      <w:r>
        <w:rPr>
          <w:rFonts w:eastAsia="宋体" w:hint="eastAsia"/>
          <w:color w:val="auto"/>
        </w:rPr>
        <w:t>步骤</w:t>
      </w:r>
      <w:r>
        <w:rPr>
          <w:rFonts w:eastAsia="宋体"/>
          <w:color w:val="auto"/>
        </w:rPr>
        <w:t>B</w:t>
      </w:r>
      <w:r>
        <w:rPr>
          <w:rFonts w:eastAsia="宋体" w:hint="eastAsia"/>
          <w:color w:val="auto"/>
        </w:rPr>
        <w:t>、进行最多转账次数的限制，任何人可以针对自己的数字藏品项目，输入合适的最多转账次数的参数</w:t>
      </w:r>
      <w:r>
        <w:rPr>
          <w:rFonts w:eastAsia="宋体"/>
          <w:color w:val="auto"/>
        </w:rPr>
        <w:t>y</w:t>
      </w:r>
      <w:r>
        <w:rPr>
          <w:rFonts w:eastAsia="宋体" w:hint="eastAsia"/>
          <w:color w:val="auto"/>
        </w:rPr>
        <w:t>，单位是次。当数字藏品项目上传到区块链上运行后，这个数字藏品合集的全部数字藏品，将最多只可以进行</w:t>
      </w:r>
      <w:r>
        <w:rPr>
          <w:rFonts w:eastAsia="宋体"/>
          <w:color w:val="auto"/>
        </w:rPr>
        <w:t>y</w:t>
      </w:r>
      <w:r>
        <w:rPr>
          <w:rFonts w:eastAsia="宋体" w:hint="eastAsia"/>
          <w:color w:val="auto"/>
        </w:rPr>
        <w:t>次转账，并且一次买卖交易由于也需要将数字藏品进行转移，如果存在交易者选择线下交易绕过交易市场，但是线下交易也会涉及到转账。也可以采取当用户进行了超过转账次数的转账，那么最后一笔转账将直接将用户的数字藏品进行销毁，可以默认他将该数字藏品用于过度的炒作目的进行惩罚。综上所述，限制最多转账次数，可以有效的限制数字藏品的快速流通和炒作，是一个重要的规范交易的方向。</w:t>
      </w:r>
    </w:p>
    <w:p w14:paraId="1EE4C10A" w14:textId="77777777" w:rsidR="00C73581" w:rsidRDefault="00000000">
      <w:pPr>
        <w:pStyle w:val="a8"/>
        <w:rPr>
          <w:rFonts w:eastAsia="宋体"/>
          <w:color w:val="auto"/>
        </w:rPr>
      </w:pPr>
      <w:r>
        <w:rPr>
          <w:rFonts w:eastAsia="宋体" w:hint="eastAsia"/>
          <w:color w:val="auto"/>
        </w:rPr>
        <w:t>步骤</w:t>
      </w:r>
      <w:r>
        <w:rPr>
          <w:rFonts w:eastAsia="宋体"/>
          <w:color w:val="auto"/>
        </w:rPr>
        <w:t>C</w:t>
      </w:r>
      <w:r>
        <w:rPr>
          <w:rFonts w:eastAsia="宋体" w:hint="eastAsia"/>
          <w:color w:val="auto"/>
        </w:rPr>
        <w:t>、权限设计这是在工业和软件开发中经常会采用的方案，给不同的权限用户设计适合这个级别的功能，在区块链中，在做上面的转账时间和转账次数限制的过程中，可能会影响到数字藏品项目团队成员的一些工作计划，因此必须要增加上权限控制。在本方案中，只需要</w:t>
      </w:r>
      <w:proofErr w:type="gramStart"/>
      <w:r>
        <w:rPr>
          <w:rFonts w:eastAsia="宋体" w:hint="eastAsia"/>
          <w:color w:val="auto"/>
        </w:rPr>
        <w:t>依据组</w:t>
      </w:r>
      <w:proofErr w:type="gramEnd"/>
      <w:r>
        <w:rPr>
          <w:rFonts w:eastAsia="宋体" w:hint="eastAsia"/>
          <w:color w:val="auto"/>
        </w:rPr>
        <w:t>名，输入该组下的用户地址，即可完成不同组的权限给予和取消。接着再输入当前组成员的计划最高转账时间间隔和最多转账次数。通过</w:t>
      </w:r>
      <w:r>
        <w:rPr>
          <w:rFonts w:eastAsia="宋体" w:hint="eastAsia"/>
          <w:color w:val="auto"/>
        </w:rPr>
        <w:lastRenderedPageBreak/>
        <w:t>这两个操作，即可对数字藏品团队成员给到更多的权限，不仅可以有效解决对交易的限制，也可以对团队成员解除限制，防止影响到团队成员的正常宣发计划。</w:t>
      </w:r>
    </w:p>
    <w:p w14:paraId="48CE5D12" w14:textId="77777777" w:rsidR="00C73581" w:rsidRDefault="00000000">
      <w:pPr>
        <w:pStyle w:val="a8"/>
        <w:rPr>
          <w:rFonts w:eastAsia="宋体"/>
          <w:color w:val="auto"/>
        </w:rPr>
      </w:pPr>
      <w:r>
        <w:rPr>
          <w:rFonts w:eastAsia="宋体" w:hint="eastAsia"/>
          <w:color w:val="auto"/>
        </w:rPr>
        <w:t>步骤</w:t>
      </w:r>
      <w:r>
        <w:rPr>
          <w:rFonts w:eastAsia="宋体"/>
          <w:color w:val="auto"/>
        </w:rPr>
        <w:t>D</w:t>
      </w:r>
      <w:r>
        <w:rPr>
          <w:rFonts w:eastAsia="宋体" w:hint="eastAsia"/>
          <w:color w:val="auto"/>
        </w:rPr>
        <w:t>、除了上述提到的方向之外，本方案还提供了一种动态收税的限制性方案，这种方案不像上面的方案是一种强硬的规定形式的限制，这种方案可以指导用户正确理性的交易数字藏品，而不是单纯的进行</w:t>
      </w:r>
      <w:proofErr w:type="gramStart"/>
      <w:r>
        <w:rPr>
          <w:rFonts w:eastAsia="宋体" w:hint="eastAsia"/>
          <w:color w:val="auto"/>
        </w:rPr>
        <w:t>炒作化</w:t>
      </w:r>
      <w:proofErr w:type="gramEnd"/>
      <w:r>
        <w:rPr>
          <w:rFonts w:eastAsia="宋体" w:hint="eastAsia"/>
          <w:color w:val="auto"/>
        </w:rPr>
        <w:t>的交易。实现动态收税，用户需要在创建数字藏品合集的之前输入版权税金额和动态收税的比例，当用户输入版权税为</w:t>
      </w:r>
      <w:r>
        <w:rPr>
          <w:rFonts w:eastAsia="宋体"/>
          <w:color w:val="auto"/>
        </w:rPr>
        <w:t>a%</w:t>
      </w:r>
      <w:r>
        <w:rPr>
          <w:rFonts w:eastAsia="宋体" w:hint="eastAsia"/>
          <w:color w:val="auto"/>
        </w:rPr>
        <w:t>和动态收税比例为</w:t>
      </w:r>
      <w:r>
        <w:rPr>
          <w:rFonts w:eastAsia="宋体"/>
          <w:color w:val="auto"/>
        </w:rPr>
        <w:t>b</w:t>
      </w:r>
      <w:r>
        <w:rPr>
          <w:rFonts w:eastAsia="宋体" w:hint="eastAsia"/>
          <w:color w:val="auto"/>
        </w:rPr>
        <w:t>%</w:t>
      </w:r>
      <w:r>
        <w:rPr>
          <w:rFonts w:eastAsia="宋体" w:hint="eastAsia"/>
          <w:color w:val="auto"/>
        </w:rPr>
        <w:t>后，第一次交易用户需要支付</w:t>
      </w:r>
      <w:r>
        <w:rPr>
          <w:rFonts w:eastAsia="宋体"/>
          <w:color w:val="auto"/>
        </w:rPr>
        <w:t>a%*(1+b%)^0*</w:t>
      </w:r>
      <w:r>
        <w:rPr>
          <w:rFonts w:eastAsia="宋体" w:hint="eastAsia"/>
          <w:color w:val="auto"/>
        </w:rPr>
        <w:t>数字藏品金额的手续费，第二次交易则需要支付</w:t>
      </w:r>
      <w:r>
        <w:rPr>
          <w:rFonts w:eastAsia="宋体"/>
          <w:color w:val="auto"/>
        </w:rPr>
        <w:t>a%*(1+b%)^</w:t>
      </w:r>
      <w:r>
        <w:rPr>
          <w:rFonts w:eastAsia="宋体" w:hint="eastAsia"/>
          <w:color w:val="auto"/>
        </w:rPr>
        <w:t>1</w:t>
      </w:r>
      <w:r>
        <w:rPr>
          <w:rFonts w:eastAsia="宋体"/>
          <w:color w:val="auto"/>
        </w:rPr>
        <w:t>*</w:t>
      </w:r>
      <w:r>
        <w:rPr>
          <w:rFonts w:eastAsia="宋体" w:hint="eastAsia"/>
          <w:color w:val="auto"/>
        </w:rPr>
        <w:t>数字藏品金额的手续费，第</w:t>
      </w:r>
      <w:r>
        <w:rPr>
          <w:rFonts w:eastAsia="宋体"/>
          <w:color w:val="auto"/>
        </w:rPr>
        <w:t>n</w:t>
      </w:r>
      <w:r>
        <w:rPr>
          <w:rFonts w:eastAsia="宋体" w:hint="eastAsia"/>
          <w:color w:val="auto"/>
        </w:rPr>
        <w:t>次交易需要支付</w:t>
      </w:r>
      <w:r>
        <w:rPr>
          <w:rFonts w:eastAsia="宋体"/>
          <w:color w:val="auto"/>
        </w:rPr>
        <w:t>a%*(1+b%)^(n-1)*</w:t>
      </w:r>
      <w:r>
        <w:rPr>
          <w:rFonts w:eastAsia="宋体" w:hint="eastAsia"/>
          <w:color w:val="auto"/>
        </w:rPr>
        <w:t>数字藏品金额的手续费。具体的代码实现是需要结合交易市场的代码，在数字藏品合集的代码中填入版权费用比例和动态收税的比例，在数字藏品交易市场的代码中进行读取这两个参数，再结合参数收取用户费用即可。</w:t>
      </w:r>
    </w:p>
    <w:p w14:paraId="2FD55D79" w14:textId="77777777" w:rsidR="00C73581" w:rsidRDefault="00C73581">
      <w:pPr>
        <w:pStyle w:val="a8"/>
        <w:ind w:firstLine="0"/>
        <w:rPr>
          <w:rFonts w:eastAsia="宋体"/>
          <w:color w:val="auto"/>
        </w:rPr>
      </w:pPr>
    </w:p>
    <w:p w14:paraId="276FADF2" w14:textId="77777777" w:rsidR="00C73581" w:rsidRDefault="00000000">
      <w:pPr>
        <w:pStyle w:val="aa"/>
        <w:spacing w:before="156"/>
        <w:rPr>
          <w:rFonts w:ascii="Times New Roman" w:hAnsi="Times New Roman"/>
          <w:szCs w:val="28"/>
        </w:rPr>
      </w:pPr>
      <w:r>
        <w:rPr>
          <w:rFonts w:ascii="Times New Roman" w:hAnsi="Times New Roman"/>
          <w:szCs w:val="28"/>
        </w:rPr>
        <w:t>附图说明</w:t>
      </w:r>
    </w:p>
    <w:p w14:paraId="01ECB7FD" w14:textId="77777777" w:rsidR="00791E5F" w:rsidRDefault="00791E5F" w:rsidP="00791E5F">
      <w:pPr>
        <w:pStyle w:val="a8"/>
        <w:rPr>
          <w:rFonts w:eastAsia="宋体"/>
          <w:color w:val="auto"/>
        </w:rPr>
      </w:pPr>
      <w:r>
        <w:rPr>
          <w:rFonts w:eastAsia="宋体"/>
          <w:color w:val="auto"/>
        </w:rPr>
        <w:t>为了更清楚地说明本发明的实施方式或现有技术中的技术方案，下面将对实施方式或现有技术描述中所需要使用的附图作简单地介绍。显而易见地，下面描述中的附图仅仅是示例性的，对于本领域普通技术人员来讲，在不付出创造性劳动的前提下，还可以根据提供的附图引</w:t>
      </w:r>
      <w:r>
        <w:rPr>
          <w:rFonts w:eastAsia="宋体" w:hint="eastAsia"/>
          <w:color w:val="auto"/>
        </w:rPr>
        <w:t>申</w:t>
      </w:r>
      <w:r>
        <w:rPr>
          <w:rFonts w:eastAsia="宋体"/>
          <w:color w:val="auto"/>
        </w:rPr>
        <w:t>获得其它的实施附图。</w:t>
      </w:r>
    </w:p>
    <w:p w14:paraId="60122B90" w14:textId="3F197552" w:rsidR="00C73581" w:rsidRPr="00791E5F" w:rsidRDefault="00791E5F">
      <w:pPr>
        <w:pStyle w:val="a8"/>
        <w:rPr>
          <w:rFonts w:eastAsia="宋体"/>
          <w:color w:val="auto"/>
        </w:rPr>
      </w:pPr>
      <w:r w:rsidRPr="00791E5F">
        <w:rPr>
          <w:rFonts w:eastAsia="宋体"/>
          <w:color w:val="auto"/>
        </w:rPr>
        <w:t>图</w:t>
      </w:r>
      <w:r w:rsidRPr="00791E5F">
        <w:rPr>
          <w:rFonts w:eastAsia="宋体"/>
          <w:color w:val="auto"/>
        </w:rPr>
        <w:t>1</w:t>
      </w:r>
      <w:r w:rsidRPr="00791E5F">
        <w:rPr>
          <w:rFonts w:eastAsia="宋体"/>
          <w:color w:val="auto"/>
        </w:rPr>
        <w:t>是本发明实例提供的数字藏品交易限制性设计的结构示意图。</w:t>
      </w:r>
    </w:p>
    <w:p w14:paraId="341E0B0E" w14:textId="0417E5F9" w:rsidR="00C73581" w:rsidRDefault="00791E5F">
      <w:pPr>
        <w:pStyle w:val="a8"/>
        <w:rPr>
          <w:rFonts w:eastAsia="宋体"/>
          <w:color w:val="auto"/>
        </w:rPr>
      </w:pPr>
      <w:r w:rsidRPr="00791E5F">
        <w:rPr>
          <w:rFonts w:eastAsia="宋体"/>
          <w:color w:val="auto"/>
        </w:rPr>
        <w:t>图</w:t>
      </w:r>
      <w:r w:rsidRPr="00791E5F">
        <w:rPr>
          <w:rFonts w:eastAsia="宋体"/>
          <w:color w:val="auto"/>
        </w:rPr>
        <w:t>2</w:t>
      </w:r>
      <w:r w:rsidRPr="00791E5F">
        <w:rPr>
          <w:rFonts w:eastAsia="宋体"/>
          <w:color w:val="auto"/>
        </w:rPr>
        <w:t>是本发明实例提供的数字藏品交易限制性设计中的用户角色与交易市场交互关系示意图。</w:t>
      </w:r>
    </w:p>
    <w:p w14:paraId="4D4B1D8D" w14:textId="4010F4A5" w:rsidR="00791E5F" w:rsidRDefault="00791E5F">
      <w:pPr>
        <w:pStyle w:val="a8"/>
        <w:rPr>
          <w:rFonts w:eastAsia="宋体"/>
          <w:color w:val="auto"/>
        </w:rPr>
      </w:pPr>
      <w:r w:rsidRPr="00791E5F">
        <w:rPr>
          <w:rFonts w:eastAsia="宋体"/>
          <w:color w:val="auto"/>
        </w:rPr>
        <w:t>图</w:t>
      </w:r>
      <w:r w:rsidRPr="00791E5F">
        <w:rPr>
          <w:rFonts w:eastAsia="宋体"/>
          <w:color w:val="auto"/>
        </w:rPr>
        <w:t>3</w:t>
      </w:r>
      <w:r w:rsidRPr="00791E5F">
        <w:rPr>
          <w:rFonts w:eastAsia="宋体"/>
          <w:color w:val="auto"/>
        </w:rPr>
        <w:t>是本发明实例提供的数字藏品交易系统用例图，展示了普通用户、数字藏品创建者和数字藏品交易市场之间的交互流程及系统功能。</w:t>
      </w:r>
    </w:p>
    <w:p w14:paraId="2FFB0104" w14:textId="58592A2A" w:rsidR="00791E5F" w:rsidRDefault="00791E5F">
      <w:pPr>
        <w:pStyle w:val="a8"/>
        <w:rPr>
          <w:rFonts w:eastAsia="宋体"/>
          <w:color w:val="auto"/>
        </w:rPr>
      </w:pPr>
      <w:r w:rsidRPr="00791E5F">
        <w:rPr>
          <w:rFonts w:eastAsia="宋体"/>
          <w:color w:val="auto"/>
        </w:rPr>
        <w:t>图</w:t>
      </w:r>
      <w:r w:rsidRPr="00791E5F">
        <w:rPr>
          <w:rFonts w:eastAsia="宋体"/>
          <w:color w:val="auto"/>
        </w:rPr>
        <w:t>4</w:t>
      </w:r>
      <w:r w:rsidRPr="00791E5F">
        <w:rPr>
          <w:rFonts w:eastAsia="宋体"/>
          <w:color w:val="auto"/>
        </w:rPr>
        <w:t>是本发明实例提供的数字藏品交易过程中的用户与系统的交互</w:t>
      </w:r>
      <w:r w:rsidRPr="00791E5F">
        <w:rPr>
          <w:rFonts w:eastAsia="宋体"/>
          <w:color w:val="auto"/>
        </w:rPr>
        <w:lastRenderedPageBreak/>
        <w:t>时序图，展示了</w:t>
      </w:r>
      <w:r w:rsidRPr="00791E5F">
        <w:rPr>
          <w:rFonts w:eastAsia="宋体"/>
          <w:b/>
          <w:bCs/>
          <w:color w:val="auto"/>
        </w:rPr>
        <w:t>购买者</w:t>
      </w:r>
      <w:r w:rsidRPr="00791E5F">
        <w:rPr>
          <w:rFonts w:eastAsia="宋体"/>
          <w:color w:val="auto"/>
        </w:rPr>
        <w:t>、</w:t>
      </w:r>
      <w:r w:rsidRPr="00791E5F">
        <w:rPr>
          <w:rFonts w:eastAsia="宋体"/>
          <w:b/>
          <w:bCs/>
          <w:color w:val="auto"/>
        </w:rPr>
        <w:t>创作者</w:t>
      </w:r>
      <w:r w:rsidRPr="00791E5F">
        <w:rPr>
          <w:rFonts w:eastAsia="宋体"/>
          <w:color w:val="auto"/>
        </w:rPr>
        <w:t>和</w:t>
      </w:r>
      <w:r w:rsidRPr="00791E5F">
        <w:rPr>
          <w:rFonts w:eastAsia="宋体"/>
          <w:b/>
          <w:bCs/>
          <w:color w:val="auto"/>
        </w:rPr>
        <w:t>交易市场</w:t>
      </w:r>
      <w:r w:rsidRPr="00791E5F">
        <w:rPr>
          <w:rFonts w:eastAsia="宋体"/>
          <w:color w:val="auto"/>
        </w:rPr>
        <w:t>之间的操作流程，包括数字藏品的创建、转账限制设置、动态税收设置、支付</w:t>
      </w:r>
      <w:r w:rsidRPr="00791E5F">
        <w:rPr>
          <w:rFonts w:eastAsia="宋体"/>
          <w:color w:val="auto"/>
        </w:rPr>
        <w:t>Token</w:t>
      </w:r>
      <w:r w:rsidRPr="00791E5F">
        <w:rPr>
          <w:rFonts w:eastAsia="宋体"/>
          <w:color w:val="auto"/>
        </w:rPr>
        <w:t>以及交易过程中的验证等步骤。</w:t>
      </w:r>
    </w:p>
    <w:p w14:paraId="7488168E" w14:textId="587603B8" w:rsidR="00C73581" w:rsidRDefault="00791E5F" w:rsidP="00791E5F">
      <w:pPr>
        <w:pStyle w:val="a8"/>
        <w:rPr>
          <w:rFonts w:eastAsia="宋体" w:hint="eastAsia"/>
          <w:color w:val="auto"/>
        </w:rPr>
      </w:pPr>
      <w:r w:rsidRPr="00791E5F">
        <w:rPr>
          <w:rFonts w:eastAsia="宋体"/>
          <w:color w:val="auto"/>
        </w:rPr>
        <w:t>图</w:t>
      </w:r>
      <w:r w:rsidRPr="00791E5F">
        <w:rPr>
          <w:rFonts w:eastAsia="宋体"/>
          <w:color w:val="auto"/>
        </w:rPr>
        <w:t>5</w:t>
      </w:r>
      <w:r w:rsidRPr="00791E5F">
        <w:rPr>
          <w:rFonts w:eastAsia="宋体"/>
          <w:color w:val="auto"/>
        </w:rPr>
        <w:t>是本发明实例提供的数字藏品交易系统的模块功能描述表，展示了各个模块的功能和作用。包括合约层、角色管理层、数据结构层、功能层、转账管理层、查询功能层以及安全性与优化层，分别对</w:t>
      </w:r>
      <w:r w:rsidRPr="00791E5F">
        <w:rPr>
          <w:rFonts w:eastAsia="宋体"/>
          <w:color w:val="auto"/>
        </w:rPr>
        <w:t>NFT</w:t>
      </w:r>
      <w:r w:rsidRPr="00791E5F">
        <w:rPr>
          <w:rFonts w:eastAsia="宋体"/>
          <w:color w:val="auto"/>
        </w:rPr>
        <w:t>的创建、转账限制、角色管理、数据存储等功能进行详细描述。</w:t>
      </w:r>
    </w:p>
    <w:p w14:paraId="23D62FC3" w14:textId="77777777" w:rsidR="00C73581" w:rsidRDefault="00C73581">
      <w:pPr>
        <w:pStyle w:val="a8"/>
        <w:rPr>
          <w:rFonts w:eastAsia="宋体"/>
          <w:color w:val="auto"/>
        </w:rPr>
      </w:pPr>
    </w:p>
    <w:p w14:paraId="6AF30E26" w14:textId="77777777" w:rsidR="00C73581" w:rsidRDefault="00C73581">
      <w:pPr>
        <w:pStyle w:val="a8"/>
        <w:rPr>
          <w:rFonts w:eastAsia="宋体"/>
          <w:color w:val="auto"/>
        </w:rPr>
      </w:pPr>
    </w:p>
    <w:p w14:paraId="0972BE7F" w14:textId="77777777" w:rsidR="00C73581" w:rsidRDefault="00000000">
      <w:pPr>
        <w:pStyle w:val="aa"/>
        <w:spacing w:before="156"/>
        <w:rPr>
          <w:rFonts w:ascii="Times New Roman" w:hAnsi="Times New Roman"/>
          <w:szCs w:val="28"/>
        </w:rPr>
      </w:pPr>
      <w:r>
        <w:rPr>
          <w:rFonts w:ascii="Times New Roman" w:hAnsi="Times New Roman"/>
          <w:szCs w:val="28"/>
        </w:rPr>
        <w:t>具体实施方式</w:t>
      </w:r>
    </w:p>
    <w:p w14:paraId="59F55DAF" w14:textId="7011819A" w:rsidR="00791E5F" w:rsidRPr="00791E5F" w:rsidRDefault="00791E5F" w:rsidP="00791E5F">
      <w:pPr>
        <w:pStyle w:val="a8"/>
        <w:rPr>
          <w:rFonts w:ascii="宋体" w:eastAsia="宋体" w:hAnsi="宋体"/>
        </w:rPr>
      </w:pPr>
      <w:r w:rsidRPr="00791E5F">
        <w:rPr>
          <w:rFonts w:ascii="宋体" w:eastAsia="宋体" w:hAnsi="宋体"/>
        </w:rPr>
        <w:t>本实施</w:t>
      </w:r>
      <w:proofErr w:type="gramStart"/>
      <w:r w:rsidRPr="00791E5F">
        <w:rPr>
          <w:rFonts w:ascii="宋体" w:eastAsia="宋体" w:hAnsi="宋体"/>
        </w:rPr>
        <w:t>例提供</w:t>
      </w:r>
      <w:proofErr w:type="gramEnd"/>
      <w:r w:rsidRPr="00791E5F">
        <w:rPr>
          <w:rFonts w:ascii="宋体" w:eastAsia="宋体" w:hAnsi="宋体"/>
        </w:rPr>
        <w:t>了一种基于区块链技术的数字藏品规范化交易系统，通过对数字藏品的交易行为进行有效限制和管理，规范市场交易，减少过度炒作，确保市场健康有序地发展。该系统通过智能合约技术对转账时间间隔、最大转账次数、转账地址权限、动态转账税收等多方面进行设计，全面保障数字藏品交易的合法性、公平性和透明性。</w:t>
      </w:r>
    </w:p>
    <w:p w14:paraId="3517F045" w14:textId="77777777" w:rsidR="00791E5F" w:rsidRPr="00791E5F" w:rsidRDefault="00791E5F" w:rsidP="00791E5F">
      <w:pPr>
        <w:pStyle w:val="a8"/>
        <w:rPr>
          <w:rFonts w:ascii="宋体" w:eastAsia="宋体" w:hAnsi="宋体"/>
          <w:b/>
          <w:bCs/>
        </w:rPr>
      </w:pPr>
      <w:r w:rsidRPr="00791E5F">
        <w:rPr>
          <w:rFonts w:ascii="宋体" w:eastAsia="宋体" w:hAnsi="宋体"/>
          <w:b/>
          <w:bCs/>
        </w:rPr>
        <w:t>1. 合约管理</w:t>
      </w:r>
    </w:p>
    <w:p w14:paraId="72695DE8" w14:textId="77777777" w:rsidR="00791E5F" w:rsidRPr="00791E5F" w:rsidRDefault="00791E5F" w:rsidP="00791E5F">
      <w:pPr>
        <w:pStyle w:val="a8"/>
        <w:rPr>
          <w:rFonts w:ascii="宋体" w:eastAsia="宋体" w:hAnsi="宋体"/>
        </w:rPr>
      </w:pPr>
      <w:r w:rsidRPr="00791E5F">
        <w:rPr>
          <w:rFonts w:ascii="宋体" w:eastAsia="宋体" w:hAnsi="宋体"/>
        </w:rPr>
        <w:t xml:space="preserve">在本实施方式中，合约管理是整个数字藏品交易系统的核心部分。系统通过智能合约来实现对数字藏品的管理和交易约束。合约继承自 ERC721，即基于区块链的非同质化代币标准，确保每个数字藏品的唯一性，并能够记录交易历史。同时，合约还集成了 </w:t>
      </w:r>
      <w:proofErr w:type="spellStart"/>
      <w:r w:rsidRPr="00791E5F">
        <w:rPr>
          <w:rFonts w:ascii="宋体" w:eastAsia="宋体" w:hAnsi="宋体"/>
        </w:rPr>
        <w:t>AccessControl</w:t>
      </w:r>
      <w:proofErr w:type="spellEnd"/>
      <w:r w:rsidRPr="00791E5F">
        <w:rPr>
          <w:rFonts w:ascii="宋体" w:eastAsia="宋体" w:hAnsi="宋体"/>
        </w:rPr>
        <w:t>，实现了不同角色用户的权限管理。系统通过两个主要角色来管理权限：平台角色 (PLATFORM_ROLE) 和白名单角色 (WHITELIST_ROLE)。平台角色用于标识有权触发交易的合约，而白名单角色则用于标识不受转账次数和时间间隔限制的用户。</w:t>
      </w:r>
    </w:p>
    <w:p w14:paraId="4F447B20" w14:textId="77777777" w:rsidR="00791E5F" w:rsidRPr="00791E5F" w:rsidRDefault="00791E5F" w:rsidP="00791E5F">
      <w:pPr>
        <w:pStyle w:val="a8"/>
        <w:rPr>
          <w:rFonts w:ascii="宋体" w:eastAsia="宋体" w:hAnsi="宋体"/>
          <w:b/>
          <w:bCs/>
        </w:rPr>
      </w:pPr>
      <w:r w:rsidRPr="00791E5F">
        <w:rPr>
          <w:rFonts w:ascii="宋体" w:eastAsia="宋体" w:hAnsi="宋体"/>
          <w:b/>
          <w:bCs/>
        </w:rPr>
        <w:t>2. 角色管理</w:t>
      </w:r>
    </w:p>
    <w:p w14:paraId="11345F8E" w14:textId="77777777" w:rsidR="00791E5F" w:rsidRPr="00791E5F" w:rsidRDefault="00791E5F" w:rsidP="00791E5F">
      <w:pPr>
        <w:pStyle w:val="a8"/>
        <w:rPr>
          <w:rFonts w:ascii="宋体" w:eastAsia="宋体" w:hAnsi="宋体"/>
        </w:rPr>
      </w:pPr>
      <w:r w:rsidRPr="00791E5F">
        <w:rPr>
          <w:rFonts w:ascii="宋体" w:eastAsia="宋体" w:hAnsi="宋体"/>
        </w:rPr>
        <w:t>在本系统中，</w:t>
      </w:r>
      <w:r w:rsidRPr="00791E5F">
        <w:rPr>
          <w:rFonts w:ascii="宋体" w:eastAsia="宋体" w:hAnsi="宋体"/>
          <w:b/>
          <w:bCs/>
        </w:rPr>
        <w:t>角色管理</w:t>
      </w:r>
      <w:r w:rsidRPr="00791E5F">
        <w:rPr>
          <w:rFonts w:ascii="宋体" w:eastAsia="宋体" w:hAnsi="宋体"/>
        </w:rPr>
        <w:t>是确保交易行为合</w:t>
      </w:r>
      <w:proofErr w:type="gramStart"/>
      <w:r w:rsidRPr="00791E5F">
        <w:rPr>
          <w:rFonts w:ascii="宋体" w:eastAsia="宋体" w:hAnsi="宋体"/>
        </w:rPr>
        <w:t>规</w:t>
      </w:r>
      <w:proofErr w:type="gramEnd"/>
      <w:r w:rsidRPr="00791E5F">
        <w:rPr>
          <w:rFonts w:ascii="宋体" w:eastAsia="宋体" w:hAnsi="宋体"/>
        </w:rPr>
        <w:t>的重要环节。通过管理平台合约和白名单用户的权限，系统能够灵活地控制谁可以进行频繁交</w:t>
      </w:r>
      <w:r w:rsidRPr="00791E5F">
        <w:rPr>
          <w:rFonts w:ascii="宋体" w:eastAsia="宋体" w:hAnsi="宋体"/>
        </w:rPr>
        <w:lastRenderedPageBreak/>
        <w:t>易，谁可以避免转账限制。管理员可通过合约接口添加或移除平台角色和白名单角色的地址，从而动态调整用户的交易权限。对于普通用户，转账次数和转账时间间隔会受到严格的限制，确保这些用户不会频繁转手数字藏品，减少炒作现象。</w:t>
      </w:r>
    </w:p>
    <w:p w14:paraId="214297C4" w14:textId="77777777" w:rsidR="00791E5F" w:rsidRPr="00791E5F" w:rsidRDefault="00791E5F" w:rsidP="00791E5F">
      <w:pPr>
        <w:pStyle w:val="a8"/>
        <w:rPr>
          <w:rFonts w:ascii="宋体" w:eastAsia="宋体" w:hAnsi="宋体"/>
          <w:b/>
          <w:bCs/>
        </w:rPr>
      </w:pPr>
      <w:r w:rsidRPr="00791E5F">
        <w:rPr>
          <w:rFonts w:ascii="宋体" w:eastAsia="宋体" w:hAnsi="宋体"/>
          <w:b/>
          <w:bCs/>
        </w:rPr>
        <w:t>3. 数据存储与管理</w:t>
      </w:r>
    </w:p>
    <w:p w14:paraId="12C4F121" w14:textId="77777777" w:rsidR="00791E5F" w:rsidRPr="00791E5F" w:rsidRDefault="00791E5F" w:rsidP="00791E5F">
      <w:pPr>
        <w:pStyle w:val="a8"/>
        <w:rPr>
          <w:rFonts w:ascii="宋体" w:eastAsia="宋体" w:hAnsi="宋体"/>
        </w:rPr>
      </w:pPr>
      <w:r w:rsidRPr="00791E5F">
        <w:rPr>
          <w:rFonts w:ascii="宋体" w:eastAsia="宋体" w:hAnsi="宋体"/>
        </w:rPr>
        <w:t>本实施</w:t>
      </w:r>
      <w:proofErr w:type="gramStart"/>
      <w:r w:rsidRPr="00791E5F">
        <w:rPr>
          <w:rFonts w:ascii="宋体" w:eastAsia="宋体" w:hAnsi="宋体"/>
        </w:rPr>
        <w:t>例通过</w:t>
      </w:r>
      <w:proofErr w:type="gramEnd"/>
      <w:r w:rsidRPr="00791E5F">
        <w:rPr>
          <w:rFonts w:ascii="宋体" w:eastAsia="宋体" w:hAnsi="宋体"/>
        </w:rPr>
        <w:t xml:space="preserve">将每个数字藏品的交易信息存储在区块链上，利用区块链的不可篡改性来保证数据的真实可靠。每个数字藏品的相关信息，如转账次数和上次转账的区块号，都会被存储在系统的 </w:t>
      </w:r>
      <w:proofErr w:type="spellStart"/>
      <w:r w:rsidRPr="00791E5F">
        <w:rPr>
          <w:rFonts w:ascii="宋体" w:eastAsia="宋体" w:hAnsi="宋体"/>
          <w:b/>
          <w:bCs/>
        </w:rPr>
        <w:t>TokenInfo</w:t>
      </w:r>
      <w:proofErr w:type="spellEnd"/>
      <w:r w:rsidRPr="00791E5F">
        <w:rPr>
          <w:rFonts w:ascii="宋体" w:eastAsia="宋体" w:hAnsi="宋体"/>
        </w:rPr>
        <w:t xml:space="preserve"> 结构中。这样，任何关于数字藏品交易的数据变动都能够被透明记录，所有参与者都可以追溯交易的历史，确保交易过程的公平性与透明性。</w:t>
      </w:r>
    </w:p>
    <w:p w14:paraId="286337F0" w14:textId="77777777" w:rsidR="00791E5F" w:rsidRPr="00791E5F" w:rsidRDefault="00791E5F" w:rsidP="00791E5F">
      <w:pPr>
        <w:pStyle w:val="a8"/>
        <w:rPr>
          <w:rFonts w:ascii="宋体" w:eastAsia="宋体" w:hAnsi="宋体"/>
          <w:b/>
          <w:bCs/>
        </w:rPr>
      </w:pPr>
      <w:r w:rsidRPr="00791E5F">
        <w:rPr>
          <w:rFonts w:ascii="宋体" w:eastAsia="宋体" w:hAnsi="宋体"/>
          <w:b/>
          <w:bCs/>
        </w:rPr>
        <w:t>4. 交易限制设计</w:t>
      </w:r>
    </w:p>
    <w:p w14:paraId="0165A777" w14:textId="77777777" w:rsidR="00791E5F" w:rsidRPr="00791E5F" w:rsidRDefault="00791E5F" w:rsidP="00791E5F">
      <w:pPr>
        <w:pStyle w:val="a8"/>
        <w:rPr>
          <w:rFonts w:ascii="宋体" w:eastAsia="宋体" w:hAnsi="宋体"/>
        </w:rPr>
      </w:pPr>
      <w:r w:rsidRPr="00791E5F">
        <w:rPr>
          <w:rFonts w:ascii="宋体" w:eastAsia="宋体" w:hAnsi="宋体"/>
        </w:rPr>
        <w:t xml:space="preserve">为了规范数字藏品的交易行为，本系统设计了一系列的交易限制，包括但不限于 </w:t>
      </w:r>
      <w:r w:rsidRPr="00791E5F">
        <w:rPr>
          <w:rFonts w:ascii="宋体" w:eastAsia="宋体" w:hAnsi="宋体"/>
          <w:b/>
          <w:bCs/>
        </w:rPr>
        <w:t>转账时间间隔</w:t>
      </w:r>
      <w:r w:rsidRPr="00791E5F">
        <w:rPr>
          <w:rFonts w:ascii="宋体" w:eastAsia="宋体" w:hAnsi="宋体"/>
        </w:rPr>
        <w:t>、</w:t>
      </w:r>
      <w:r w:rsidRPr="00791E5F">
        <w:rPr>
          <w:rFonts w:ascii="宋体" w:eastAsia="宋体" w:hAnsi="宋体"/>
          <w:b/>
          <w:bCs/>
        </w:rPr>
        <w:t>最大转账次数</w:t>
      </w:r>
      <w:r w:rsidRPr="00791E5F">
        <w:rPr>
          <w:rFonts w:ascii="宋体" w:eastAsia="宋体" w:hAnsi="宋体"/>
        </w:rPr>
        <w:t xml:space="preserve"> 和 </w:t>
      </w:r>
      <w:r w:rsidRPr="00791E5F">
        <w:rPr>
          <w:rFonts w:ascii="宋体" w:eastAsia="宋体" w:hAnsi="宋体"/>
          <w:b/>
          <w:bCs/>
        </w:rPr>
        <w:t>动态转账税收</w:t>
      </w:r>
      <w:r w:rsidRPr="00791E5F">
        <w:rPr>
          <w:rFonts w:ascii="宋体" w:eastAsia="宋体" w:hAnsi="宋体"/>
        </w:rPr>
        <w:t>。</w:t>
      </w:r>
    </w:p>
    <w:p w14:paraId="33D63954" w14:textId="77777777" w:rsidR="00791E5F" w:rsidRPr="00791E5F" w:rsidRDefault="00791E5F" w:rsidP="00791E5F">
      <w:pPr>
        <w:pStyle w:val="a8"/>
        <w:numPr>
          <w:ilvl w:val="0"/>
          <w:numId w:val="2"/>
        </w:numPr>
        <w:rPr>
          <w:rFonts w:ascii="宋体" w:eastAsia="宋体" w:hAnsi="宋体"/>
        </w:rPr>
      </w:pPr>
      <w:r w:rsidRPr="00791E5F">
        <w:rPr>
          <w:rFonts w:ascii="宋体" w:eastAsia="宋体" w:hAnsi="宋体"/>
          <w:b/>
          <w:bCs/>
        </w:rPr>
        <w:t>转账时间间隔</w:t>
      </w:r>
      <w:r w:rsidRPr="00791E5F">
        <w:rPr>
          <w:rFonts w:ascii="宋体" w:eastAsia="宋体" w:hAnsi="宋体"/>
        </w:rPr>
        <w:t>：系统设置了一个最小转账间隔，限制数字藏品在特定时间内不能进行再次转账。该时间间隔限制适用于所有非白名单用户，通过智能合约设定。当一个用户购买数字藏品后，必须等待设定的时间间隔，才能进行转卖或转移。此举有效防止了频繁的短期转手行为，限制了炒作的空间。</w:t>
      </w:r>
    </w:p>
    <w:p w14:paraId="3C620EBA" w14:textId="77777777" w:rsidR="00791E5F" w:rsidRPr="00791E5F" w:rsidRDefault="00791E5F" w:rsidP="00791E5F">
      <w:pPr>
        <w:pStyle w:val="a8"/>
        <w:numPr>
          <w:ilvl w:val="0"/>
          <w:numId w:val="2"/>
        </w:numPr>
        <w:rPr>
          <w:rFonts w:ascii="宋体" w:eastAsia="宋体" w:hAnsi="宋体"/>
        </w:rPr>
      </w:pPr>
      <w:r w:rsidRPr="00791E5F">
        <w:rPr>
          <w:rFonts w:ascii="宋体" w:eastAsia="宋体" w:hAnsi="宋体"/>
          <w:b/>
          <w:bCs/>
        </w:rPr>
        <w:t>最大转账次数</w:t>
      </w:r>
      <w:r w:rsidRPr="00791E5F">
        <w:rPr>
          <w:rFonts w:ascii="宋体" w:eastAsia="宋体" w:hAnsi="宋体"/>
        </w:rPr>
        <w:t>：每个数字藏品的转账次数是有限的。当转账次数超过设定上限时，该数字藏品将不再具备交易资格。这一限制确保数字藏品不被恶意炒作，防止了不必要的市场波动。</w:t>
      </w:r>
    </w:p>
    <w:p w14:paraId="18DBD84B" w14:textId="77777777" w:rsidR="00791E5F" w:rsidRPr="00791E5F" w:rsidRDefault="00791E5F" w:rsidP="00791E5F">
      <w:pPr>
        <w:pStyle w:val="a8"/>
        <w:numPr>
          <w:ilvl w:val="0"/>
          <w:numId w:val="2"/>
        </w:numPr>
        <w:rPr>
          <w:rFonts w:ascii="宋体" w:eastAsia="宋体" w:hAnsi="宋体"/>
        </w:rPr>
      </w:pPr>
      <w:r w:rsidRPr="00791E5F">
        <w:rPr>
          <w:rFonts w:ascii="宋体" w:eastAsia="宋体" w:hAnsi="宋体"/>
          <w:b/>
          <w:bCs/>
        </w:rPr>
        <w:t>动态转账税收</w:t>
      </w:r>
      <w:r w:rsidRPr="00791E5F">
        <w:rPr>
          <w:rFonts w:ascii="宋体" w:eastAsia="宋体" w:hAnsi="宋体"/>
        </w:rPr>
        <w:t>：为了减少过度炒作，本系统还引入了动态税收机制。每次交易都会根据数字藏品的转账次数动态调整税收比例，交易频繁的用户需支付更高的税费，从而起到引导理性交易、降低投机行为的作用。税费的计算方式考虑了转账次数的增加，能够有效抑制短期内频繁转手的行为。</w:t>
      </w:r>
    </w:p>
    <w:p w14:paraId="45056174" w14:textId="77777777" w:rsidR="00791E5F" w:rsidRPr="00791E5F" w:rsidRDefault="00791E5F" w:rsidP="00791E5F">
      <w:pPr>
        <w:pStyle w:val="a8"/>
        <w:rPr>
          <w:rFonts w:ascii="宋体" w:eastAsia="宋体" w:hAnsi="宋体"/>
          <w:b/>
          <w:bCs/>
        </w:rPr>
      </w:pPr>
      <w:r w:rsidRPr="00791E5F">
        <w:rPr>
          <w:rFonts w:ascii="宋体" w:eastAsia="宋体" w:hAnsi="宋体"/>
          <w:b/>
          <w:bCs/>
        </w:rPr>
        <w:t>5. 转账管理</w:t>
      </w:r>
    </w:p>
    <w:p w14:paraId="7A787F6C" w14:textId="77777777" w:rsidR="00791E5F" w:rsidRPr="00791E5F" w:rsidRDefault="00791E5F" w:rsidP="00791E5F">
      <w:pPr>
        <w:pStyle w:val="a8"/>
        <w:rPr>
          <w:rFonts w:ascii="宋体" w:eastAsia="宋体" w:hAnsi="宋体"/>
        </w:rPr>
      </w:pPr>
      <w:r w:rsidRPr="00791E5F">
        <w:rPr>
          <w:rFonts w:ascii="宋体" w:eastAsia="宋体" w:hAnsi="宋体"/>
        </w:rPr>
        <w:t xml:space="preserve">本系统特别设计了对 </w:t>
      </w:r>
      <w:r w:rsidRPr="00791E5F">
        <w:rPr>
          <w:rFonts w:ascii="宋体" w:eastAsia="宋体" w:hAnsi="宋体"/>
          <w:b/>
          <w:bCs/>
        </w:rPr>
        <w:t>转账管理</w:t>
      </w:r>
      <w:r w:rsidRPr="00791E5F">
        <w:rPr>
          <w:rFonts w:ascii="宋体" w:eastAsia="宋体" w:hAnsi="宋体"/>
        </w:rPr>
        <w:t xml:space="preserve"> 的控制。所有数字藏品的转账都需</w:t>
      </w:r>
      <w:r w:rsidRPr="00791E5F">
        <w:rPr>
          <w:rFonts w:ascii="宋体" w:eastAsia="宋体" w:hAnsi="宋体"/>
        </w:rPr>
        <w:lastRenderedPageBreak/>
        <w:t>要通过平台合约来触发，且只有在满足条件时才会执行。平台合约的作用是确保交易发生时符合规定的条件，例如用户的身份验证、转账次数和时间间隔的校验等。转账的操作通过智能合约进行验证，在每次交易时系统会自动检查转账是否符合相关的限制条件。</w:t>
      </w:r>
    </w:p>
    <w:p w14:paraId="7BBD3BBB" w14:textId="77777777" w:rsidR="00791E5F" w:rsidRPr="00791E5F" w:rsidRDefault="00791E5F" w:rsidP="00791E5F">
      <w:pPr>
        <w:pStyle w:val="a8"/>
        <w:rPr>
          <w:rFonts w:ascii="宋体" w:eastAsia="宋体" w:hAnsi="宋体"/>
        </w:rPr>
      </w:pPr>
      <w:r w:rsidRPr="00791E5F">
        <w:rPr>
          <w:rFonts w:ascii="宋体" w:eastAsia="宋体" w:hAnsi="宋体"/>
        </w:rPr>
        <w:t>如果用户的转账行为不符合规定，系统会拒绝该转账请求，并提示用户违反了交易规则。此外，系统还设计了适当的权限管理，确保只有合法平台合约能够触发交易，避免了未经授权的合约进行交易操作。</w:t>
      </w:r>
    </w:p>
    <w:p w14:paraId="25A96B8C" w14:textId="77777777" w:rsidR="00791E5F" w:rsidRPr="00791E5F" w:rsidRDefault="00791E5F" w:rsidP="00791E5F">
      <w:pPr>
        <w:pStyle w:val="a8"/>
        <w:rPr>
          <w:rFonts w:ascii="宋体" w:eastAsia="宋体" w:hAnsi="宋体"/>
          <w:b/>
          <w:bCs/>
        </w:rPr>
      </w:pPr>
      <w:r w:rsidRPr="00791E5F">
        <w:rPr>
          <w:rFonts w:ascii="宋体" w:eastAsia="宋体" w:hAnsi="宋体"/>
          <w:b/>
          <w:bCs/>
        </w:rPr>
        <w:t>6. 查询与透明性</w:t>
      </w:r>
    </w:p>
    <w:p w14:paraId="6F8FA203" w14:textId="77777777" w:rsidR="00791E5F" w:rsidRPr="00791E5F" w:rsidRDefault="00791E5F" w:rsidP="00791E5F">
      <w:pPr>
        <w:pStyle w:val="a8"/>
        <w:rPr>
          <w:rFonts w:ascii="宋体" w:eastAsia="宋体" w:hAnsi="宋体"/>
        </w:rPr>
      </w:pPr>
      <w:r w:rsidRPr="00791E5F">
        <w:rPr>
          <w:rFonts w:ascii="宋体" w:eastAsia="宋体" w:hAnsi="宋体"/>
        </w:rPr>
        <w:t xml:space="preserve">系统提供了多种查询接口，以保证透明度。用户和平台可以通过接口查询数字藏品的转账信息，包括但不限于 </w:t>
      </w:r>
      <w:r w:rsidRPr="00791E5F">
        <w:rPr>
          <w:rFonts w:ascii="宋体" w:eastAsia="宋体" w:hAnsi="宋体"/>
          <w:b/>
          <w:bCs/>
        </w:rPr>
        <w:t>转账次数</w:t>
      </w:r>
      <w:r w:rsidRPr="00791E5F">
        <w:rPr>
          <w:rFonts w:ascii="宋体" w:eastAsia="宋体" w:hAnsi="宋体"/>
        </w:rPr>
        <w:t>、</w:t>
      </w:r>
      <w:r w:rsidRPr="00791E5F">
        <w:rPr>
          <w:rFonts w:ascii="宋体" w:eastAsia="宋体" w:hAnsi="宋体"/>
          <w:b/>
          <w:bCs/>
        </w:rPr>
        <w:t>转账时间间隔</w:t>
      </w:r>
      <w:r w:rsidRPr="00791E5F">
        <w:rPr>
          <w:rFonts w:ascii="宋体" w:eastAsia="宋体" w:hAnsi="宋体"/>
        </w:rPr>
        <w:t xml:space="preserve"> 和 </w:t>
      </w:r>
      <w:r w:rsidRPr="00791E5F">
        <w:rPr>
          <w:rFonts w:ascii="宋体" w:eastAsia="宋体" w:hAnsi="宋体"/>
          <w:b/>
          <w:bCs/>
        </w:rPr>
        <w:t>转账记录</w:t>
      </w:r>
      <w:r w:rsidRPr="00791E5F">
        <w:rPr>
          <w:rFonts w:ascii="宋体" w:eastAsia="宋体" w:hAnsi="宋体"/>
        </w:rPr>
        <w:t>。这些数据都被透明记录在区块链中，任何参与者都可以随时查询，确保数字藏品交易过程的公开性和</w:t>
      </w:r>
      <w:proofErr w:type="gramStart"/>
      <w:r w:rsidRPr="00791E5F">
        <w:rPr>
          <w:rFonts w:ascii="宋体" w:eastAsia="宋体" w:hAnsi="宋体"/>
        </w:rPr>
        <w:t>可</w:t>
      </w:r>
      <w:proofErr w:type="gramEnd"/>
      <w:r w:rsidRPr="00791E5F">
        <w:rPr>
          <w:rFonts w:ascii="宋体" w:eastAsia="宋体" w:hAnsi="宋体"/>
        </w:rPr>
        <w:t>追溯性。</w:t>
      </w:r>
    </w:p>
    <w:p w14:paraId="74474A38" w14:textId="77777777" w:rsidR="00791E5F" w:rsidRPr="00791E5F" w:rsidRDefault="00791E5F" w:rsidP="00791E5F">
      <w:pPr>
        <w:pStyle w:val="a8"/>
        <w:rPr>
          <w:rFonts w:ascii="宋体" w:eastAsia="宋体" w:hAnsi="宋体"/>
        </w:rPr>
      </w:pPr>
      <w:r w:rsidRPr="00791E5F">
        <w:rPr>
          <w:rFonts w:ascii="宋体" w:eastAsia="宋体" w:hAnsi="宋体"/>
        </w:rPr>
        <w:t>例如，用户可以查询某个特定数字藏品的转账历史，查看其上次转账的</w:t>
      </w:r>
      <w:proofErr w:type="gramStart"/>
      <w:r w:rsidRPr="00791E5F">
        <w:rPr>
          <w:rFonts w:ascii="宋体" w:eastAsia="宋体" w:hAnsi="宋体"/>
        </w:rPr>
        <w:t>区块号</w:t>
      </w:r>
      <w:proofErr w:type="gramEnd"/>
      <w:r w:rsidRPr="00791E5F">
        <w:rPr>
          <w:rFonts w:ascii="宋体" w:eastAsia="宋体" w:hAnsi="宋体"/>
        </w:rPr>
        <w:t>和当前的转账次数。通过这些查询功能，系统确保市场参与者能够充分了解交易背景信息，从而做出更明智的交易决策。</w:t>
      </w:r>
    </w:p>
    <w:p w14:paraId="6DF72D5E" w14:textId="77777777" w:rsidR="00791E5F" w:rsidRPr="00791E5F" w:rsidRDefault="00791E5F" w:rsidP="00791E5F">
      <w:pPr>
        <w:pStyle w:val="a8"/>
        <w:rPr>
          <w:rFonts w:ascii="宋体" w:eastAsia="宋体" w:hAnsi="宋体"/>
          <w:b/>
          <w:bCs/>
        </w:rPr>
      </w:pPr>
      <w:r w:rsidRPr="00791E5F">
        <w:rPr>
          <w:rFonts w:ascii="宋体" w:eastAsia="宋体" w:hAnsi="宋体"/>
          <w:b/>
          <w:bCs/>
        </w:rPr>
        <w:t>7. 安全性与扩展性</w:t>
      </w:r>
    </w:p>
    <w:p w14:paraId="3E94660F" w14:textId="77777777" w:rsidR="00791E5F" w:rsidRPr="00791E5F" w:rsidRDefault="00791E5F" w:rsidP="00791E5F">
      <w:pPr>
        <w:pStyle w:val="a8"/>
        <w:rPr>
          <w:rFonts w:ascii="宋体" w:eastAsia="宋体" w:hAnsi="宋体"/>
        </w:rPr>
      </w:pPr>
      <w:r w:rsidRPr="00791E5F">
        <w:rPr>
          <w:rFonts w:ascii="宋体" w:eastAsia="宋体" w:hAnsi="宋体"/>
        </w:rPr>
        <w:t xml:space="preserve">为了增强系统的 </w:t>
      </w:r>
      <w:r w:rsidRPr="00791E5F">
        <w:rPr>
          <w:rFonts w:ascii="宋体" w:eastAsia="宋体" w:hAnsi="宋体"/>
          <w:b/>
          <w:bCs/>
        </w:rPr>
        <w:t>安全性与扩展性</w:t>
      </w:r>
      <w:r w:rsidRPr="00791E5F">
        <w:rPr>
          <w:rFonts w:ascii="宋体" w:eastAsia="宋体" w:hAnsi="宋体"/>
        </w:rPr>
        <w:t xml:space="preserve">，本发明的合约实现了 </w:t>
      </w:r>
      <w:proofErr w:type="spellStart"/>
      <w:r w:rsidRPr="00791E5F">
        <w:rPr>
          <w:rFonts w:ascii="宋体" w:eastAsia="宋体" w:hAnsi="宋体"/>
        </w:rPr>
        <w:t>supportsInterface</w:t>
      </w:r>
      <w:proofErr w:type="spellEnd"/>
      <w:r w:rsidRPr="00791E5F">
        <w:rPr>
          <w:rFonts w:ascii="宋体" w:eastAsia="宋体" w:hAnsi="宋体"/>
        </w:rPr>
        <w:t xml:space="preserve"> 方法，确保系统能够支持外部扩展和新的接口。这样，随着市场需求和技术的发展，系统可以灵活地进行功能扩展和升级，支持更多的数字藏品类型和交易规则，保证了系统的持续发展和兼容性。</w:t>
      </w:r>
    </w:p>
    <w:p w14:paraId="1202B6D3" w14:textId="5E1C317A" w:rsidR="00C73581" w:rsidRDefault="00C73581">
      <w:pPr>
        <w:pStyle w:val="a8"/>
        <w:rPr>
          <w:rFonts w:eastAsia="宋体"/>
          <w:color w:val="auto"/>
        </w:rPr>
      </w:pPr>
    </w:p>
    <w:p w14:paraId="0D2C8855" w14:textId="77777777" w:rsidR="00C73581" w:rsidRDefault="00C73581">
      <w:pPr>
        <w:pStyle w:val="a8"/>
        <w:rPr>
          <w:rFonts w:eastAsia="宋体"/>
          <w:color w:val="auto"/>
        </w:rPr>
      </w:pPr>
    </w:p>
    <w:p w14:paraId="0076E9E4" w14:textId="77777777" w:rsidR="00C73581" w:rsidRDefault="00C73581">
      <w:pPr>
        <w:pStyle w:val="a8"/>
        <w:rPr>
          <w:rFonts w:eastAsia="宋体"/>
          <w:color w:val="auto"/>
        </w:rPr>
      </w:pPr>
    </w:p>
    <w:p w14:paraId="6CF78E77" w14:textId="77777777" w:rsidR="00C73581" w:rsidRDefault="00C73581">
      <w:pPr>
        <w:pStyle w:val="a8"/>
        <w:rPr>
          <w:rFonts w:eastAsia="宋体"/>
          <w:color w:val="auto"/>
        </w:rPr>
      </w:pPr>
    </w:p>
    <w:p w14:paraId="702165BD" w14:textId="77777777" w:rsidR="00C73581" w:rsidRDefault="00C73581">
      <w:pPr>
        <w:pStyle w:val="a8"/>
        <w:rPr>
          <w:rFonts w:eastAsia="宋体"/>
          <w:color w:val="auto"/>
        </w:rPr>
      </w:pPr>
    </w:p>
    <w:p w14:paraId="4C48E870" w14:textId="77777777" w:rsidR="00C73581" w:rsidRDefault="00C73581">
      <w:pPr>
        <w:pStyle w:val="a8"/>
        <w:rPr>
          <w:rFonts w:eastAsia="宋体"/>
          <w:color w:val="auto"/>
        </w:rPr>
      </w:pPr>
    </w:p>
    <w:p w14:paraId="7DCE3670" w14:textId="77777777" w:rsidR="00C73581" w:rsidRDefault="00C73581" w:rsidP="00791E5F">
      <w:pPr>
        <w:pStyle w:val="a8"/>
        <w:ind w:firstLine="0"/>
        <w:rPr>
          <w:rFonts w:eastAsia="宋体" w:hint="eastAsia"/>
          <w:color w:val="auto"/>
        </w:rPr>
      </w:pPr>
    </w:p>
    <w:p w14:paraId="6B0B6ED4" w14:textId="77777777" w:rsidR="00C73581" w:rsidRDefault="00000000">
      <w:pPr>
        <w:pStyle w:val="a6"/>
      </w:pPr>
      <w:r>
        <w:rPr>
          <w:rFonts w:ascii="Times New Roman" w:hAnsi="Times New Roman"/>
        </w:rPr>
        <w:lastRenderedPageBreak/>
        <w:t>说</w:t>
      </w:r>
      <w:r>
        <w:rPr>
          <w:rFonts w:ascii="Times New Roman" w:hAnsi="Times New Roman"/>
        </w:rPr>
        <w:t xml:space="preserve">   </w:t>
      </w:r>
      <w:r>
        <w:rPr>
          <w:rFonts w:ascii="Times New Roman" w:hAnsi="Times New Roman"/>
        </w:rPr>
        <w:t>明</w:t>
      </w:r>
      <w:r>
        <w:rPr>
          <w:rFonts w:ascii="Times New Roman" w:hAnsi="Times New Roman"/>
        </w:rPr>
        <w:t xml:space="preserve">   </w:t>
      </w:r>
      <w:r>
        <w:rPr>
          <w:rFonts w:ascii="Times New Roman" w:hAnsi="Times New Roman"/>
        </w:rPr>
        <w:t>书</w:t>
      </w:r>
      <w:r>
        <w:rPr>
          <w:rFonts w:ascii="Times New Roman" w:hAnsi="Times New Roman"/>
        </w:rPr>
        <w:t xml:space="preserve">   </w:t>
      </w:r>
      <w:r>
        <w:rPr>
          <w:rFonts w:ascii="Times New Roman" w:hAnsi="Times New Roman"/>
        </w:rPr>
        <w:t>附</w:t>
      </w:r>
      <w:r>
        <w:rPr>
          <w:rFonts w:ascii="Times New Roman" w:hAnsi="Times New Roman"/>
        </w:rPr>
        <w:t xml:space="preserve">   </w:t>
      </w:r>
      <w:r>
        <w:rPr>
          <w:rFonts w:ascii="Times New Roman" w:hAnsi="Times New Roman"/>
        </w:rPr>
        <w:t>图</w:t>
      </w:r>
      <w:r>
        <w:rPr>
          <w:rFonts w:ascii="Times New Roman" w:hAnsi="Times New Roman"/>
        </w:rPr>
        <w:t xml:space="preserve">    </w:t>
      </w:r>
      <w:r>
        <w:rPr>
          <w:rFonts w:ascii="Times New Roman" w:hAnsi="Times New Roman"/>
          <w:sz w:val="21"/>
          <w:szCs w:val="21"/>
        </w:rPr>
        <w:t xml:space="preserve">  </w:t>
      </w:r>
      <w:r>
        <w:rPr>
          <w:rFonts w:ascii="Times New Roman" w:hAnsi="Times New Roman"/>
          <w:noProof/>
        </w:rPr>
        <mc:AlternateContent>
          <mc:Choice Requires="wps">
            <w:drawing>
              <wp:anchor distT="0" distB="0" distL="114300" distR="114300" simplePos="0" relativeHeight="251663360" behindDoc="0" locked="0" layoutInCell="1" allowOverlap="1" wp14:anchorId="06199B1F" wp14:editId="1F60B587">
                <wp:simplePos x="0" y="0"/>
                <wp:positionH relativeFrom="column">
                  <wp:posOffset>4592955</wp:posOffset>
                </wp:positionH>
                <wp:positionV relativeFrom="paragraph">
                  <wp:posOffset>67945</wp:posOffset>
                </wp:positionV>
                <wp:extent cx="1118870" cy="287655"/>
                <wp:effectExtent l="0" t="0" r="0" b="0"/>
                <wp:wrapNone/>
                <wp:docPr id="5" name="文本框 50"/>
                <wp:cNvGraphicFramePr/>
                <a:graphic xmlns:a="http://schemas.openxmlformats.org/drawingml/2006/main">
                  <a:graphicData uri="http://schemas.microsoft.com/office/word/2010/wordprocessingShape">
                    <wps:wsp>
                      <wps:cNvSpPr txBox="1"/>
                      <wps:spPr>
                        <a:xfrm>
                          <a:off x="0" y="0"/>
                          <a:ext cx="1118870" cy="287655"/>
                        </a:xfrm>
                        <a:prstGeom prst="rect">
                          <a:avLst/>
                        </a:prstGeom>
                        <a:noFill/>
                        <a:ln>
                          <a:noFill/>
                        </a:ln>
                      </wps:spPr>
                      <wps:txbx>
                        <w:txbxContent>
                          <w:p w14:paraId="7AC2C714" w14:textId="77777777" w:rsidR="00C73581" w:rsidRDefault="00000000">
                            <w:r>
                              <w:rPr>
                                <w:rFonts w:hint="eastAsia"/>
                              </w:rPr>
                              <w:t>GG221116182A</w:t>
                            </w:r>
                          </w:p>
                        </w:txbxContent>
                      </wps:txbx>
                      <wps:bodyPr wrap="square" upright="1"/>
                    </wps:wsp>
                  </a:graphicData>
                </a:graphic>
              </wp:anchor>
            </w:drawing>
          </mc:Choice>
          <mc:Fallback>
            <w:pict>
              <v:shape w14:anchorId="06199B1F" id="文本框 50" o:spid="_x0000_s1030" type="#_x0000_t202" style="position:absolute;left:0;text-align:left;margin-left:361.65pt;margin-top:5.35pt;width:88.1pt;height:22.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" filled="f" stroked="f">
                <v:textbox>
                  <w:txbxContent>
                    <w:p w14:paraId="7AC2C714" w14:textId="77777777" w:rsidR="00C73581" w:rsidRDefault="00000000">
                      <w:r>
                        <w:rPr>
                          <w:rFonts w:hint="eastAsia"/>
                        </w:rPr>
                        <w:t>GG221116182A</w:t>
                      </w:r>
                    </w:p>
                  </w:txbxContent>
                </v:textbox>
              </v:shape>
            </w:pict>
          </mc:Fallback>
        </mc:AlternateContent>
      </w:r>
    </w:p>
    <w:p w14:paraId="30A7BCDE" w14:textId="77777777" w:rsidR="00C73581" w:rsidRDefault="00000000">
      <w:pPr>
        <w:pStyle w:val="ab"/>
        <w:spacing w:beforeLines="50" w:before="156" w:line="360" w:lineRule="auto"/>
      </w:pPr>
      <w:r>
        <w:rPr>
          <w:noProof/>
        </w:rPr>
        <w:drawing>
          <wp:inline distT="0" distB="0" distL="114300" distR="114300" wp14:anchorId="5C20B789" wp14:editId="6E2DE526">
            <wp:extent cx="3770630" cy="2082800"/>
            <wp:effectExtent l="0" t="0" r="1397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2"/>
                    <a:stretch>
                      <a:fillRect/>
                    </a:stretch>
                  </pic:blipFill>
                  <pic:spPr>
                    <a:xfrm>
                      <a:off x="0" y="0"/>
                      <a:ext cx="3770630" cy="2082800"/>
                    </a:xfrm>
                    <a:prstGeom prst="rect">
                      <a:avLst/>
                    </a:prstGeom>
                    <a:noFill/>
                    <a:ln>
                      <a:noFill/>
                    </a:ln>
                  </pic:spPr>
                </pic:pic>
              </a:graphicData>
            </a:graphic>
          </wp:inline>
        </w:drawing>
      </w:r>
    </w:p>
    <w:p w14:paraId="2E05623F" w14:textId="77777777" w:rsidR="00C73581" w:rsidRDefault="00000000">
      <w:pPr>
        <w:spacing w:line="460" w:lineRule="exact"/>
        <w:ind w:firstLineChars="200" w:firstLine="560"/>
        <w:jc w:val="center"/>
        <w:rPr>
          <w:sz w:val="28"/>
          <w:szCs w:val="28"/>
          <w:lang w:val="zh-CN"/>
        </w:rPr>
      </w:pPr>
      <w:r>
        <w:rPr>
          <w:sz w:val="28"/>
          <w:szCs w:val="28"/>
          <w:lang w:val="zh-CN"/>
        </w:rPr>
        <w:t>图</w:t>
      </w:r>
      <w:r>
        <w:rPr>
          <w:sz w:val="28"/>
          <w:szCs w:val="28"/>
          <w:lang w:val="zh-CN"/>
        </w:rPr>
        <w:t>1</w:t>
      </w:r>
    </w:p>
    <w:p w14:paraId="1F96DD4F" w14:textId="77777777" w:rsidR="00C73581" w:rsidRDefault="00C73581">
      <w:pPr>
        <w:pStyle w:val="ab"/>
        <w:spacing w:line="360" w:lineRule="auto"/>
      </w:pPr>
    </w:p>
    <w:p w14:paraId="79B4F20B" w14:textId="77777777" w:rsidR="00C73581" w:rsidRDefault="00C73581">
      <w:pPr>
        <w:pStyle w:val="ab"/>
        <w:spacing w:line="360" w:lineRule="auto"/>
      </w:pPr>
    </w:p>
    <w:p w14:paraId="2DB681BD" w14:textId="77777777" w:rsidR="00C73581" w:rsidRDefault="00000000">
      <w:pPr>
        <w:pStyle w:val="ab"/>
        <w:spacing w:line="360" w:lineRule="auto"/>
      </w:pPr>
      <w:r>
        <w:rPr>
          <w:noProof/>
        </w:rPr>
        <w:drawing>
          <wp:inline distT="0" distB="0" distL="114300" distR="114300" wp14:anchorId="71BCCF99" wp14:editId="737516E4">
            <wp:extent cx="4814570" cy="2235835"/>
            <wp:effectExtent l="0" t="0" r="11430" b="2476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3"/>
                    <a:stretch>
                      <a:fillRect/>
                    </a:stretch>
                  </pic:blipFill>
                  <pic:spPr>
                    <a:xfrm>
                      <a:off x="0" y="0"/>
                      <a:ext cx="4814570" cy="2235835"/>
                    </a:xfrm>
                    <a:prstGeom prst="rect">
                      <a:avLst/>
                    </a:prstGeom>
                    <a:noFill/>
                    <a:ln>
                      <a:noFill/>
                    </a:ln>
                  </pic:spPr>
                </pic:pic>
              </a:graphicData>
            </a:graphic>
          </wp:inline>
        </w:drawing>
      </w:r>
    </w:p>
    <w:p w14:paraId="4D9BFF4F" w14:textId="77777777" w:rsidR="00C73581" w:rsidRDefault="00000000">
      <w:pPr>
        <w:spacing w:line="460" w:lineRule="exact"/>
        <w:ind w:firstLineChars="200" w:firstLine="560"/>
        <w:jc w:val="center"/>
        <w:rPr>
          <w:sz w:val="28"/>
          <w:szCs w:val="28"/>
        </w:rPr>
      </w:pPr>
      <w:r>
        <w:rPr>
          <w:sz w:val="28"/>
          <w:szCs w:val="28"/>
          <w:lang w:val="zh-CN"/>
        </w:rPr>
        <w:t>图</w:t>
      </w:r>
      <w:r>
        <w:rPr>
          <w:rFonts w:hint="eastAsia"/>
          <w:sz w:val="28"/>
          <w:szCs w:val="28"/>
        </w:rPr>
        <w:t>2</w:t>
      </w:r>
    </w:p>
    <w:p w14:paraId="749E56C2" w14:textId="77777777" w:rsidR="00C73581" w:rsidRDefault="00C73581">
      <w:pPr>
        <w:pStyle w:val="ab"/>
        <w:spacing w:line="360" w:lineRule="auto"/>
      </w:pPr>
    </w:p>
    <w:p w14:paraId="7973413E" w14:textId="77777777" w:rsidR="00C73581" w:rsidRDefault="00C73581">
      <w:pPr>
        <w:pStyle w:val="ab"/>
        <w:spacing w:line="360" w:lineRule="auto"/>
      </w:pPr>
    </w:p>
    <w:p w14:paraId="559ACF99" w14:textId="33AC621E" w:rsidR="00C73581" w:rsidRDefault="002919A0">
      <w:pPr>
        <w:pStyle w:val="ab"/>
        <w:spacing w:line="360" w:lineRule="auto"/>
      </w:pPr>
      <w:r>
        <w:rPr>
          <w:noProof/>
        </w:rPr>
        <w:lastRenderedPageBreak/>
        <w:drawing>
          <wp:inline distT="0" distB="0" distL="0" distR="0" wp14:anchorId="6F7B3CF4" wp14:editId="31054ECA">
            <wp:extent cx="5575300" cy="3917950"/>
            <wp:effectExtent l="0" t="0" r="6350" b="6350"/>
            <wp:docPr id="2283027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75300" cy="3917950"/>
                    </a:xfrm>
                    <a:prstGeom prst="rect">
                      <a:avLst/>
                    </a:prstGeom>
                    <a:noFill/>
                    <a:ln>
                      <a:noFill/>
                    </a:ln>
                  </pic:spPr>
                </pic:pic>
              </a:graphicData>
            </a:graphic>
          </wp:inline>
        </w:drawing>
      </w:r>
    </w:p>
    <w:p w14:paraId="2F1B05F6" w14:textId="58B321A1" w:rsidR="00C73581" w:rsidRDefault="002919A0">
      <w:pPr>
        <w:pStyle w:val="ab"/>
        <w:spacing w:line="360" w:lineRule="auto"/>
      </w:pPr>
      <w:r>
        <w:rPr>
          <w:rFonts w:hint="eastAsia"/>
        </w:rPr>
        <w:t>图三</w:t>
      </w:r>
    </w:p>
    <w:p w14:paraId="3AC07EFE" w14:textId="77777777" w:rsidR="00C73581" w:rsidRDefault="00C73581">
      <w:pPr>
        <w:pStyle w:val="ab"/>
        <w:spacing w:line="360" w:lineRule="auto"/>
      </w:pPr>
    </w:p>
    <w:p w14:paraId="05D49AD6" w14:textId="77777777" w:rsidR="00C73581" w:rsidRDefault="00C73581">
      <w:pPr>
        <w:pStyle w:val="ab"/>
        <w:spacing w:line="360" w:lineRule="auto"/>
      </w:pPr>
    </w:p>
    <w:p w14:paraId="4844BEEF" w14:textId="546285E8" w:rsidR="00C73581" w:rsidRDefault="002919A0">
      <w:pPr>
        <w:pStyle w:val="ab"/>
        <w:spacing w:line="360" w:lineRule="auto"/>
      </w:pPr>
      <w:r>
        <w:rPr>
          <w:noProof/>
        </w:rPr>
        <w:lastRenderedPageBreak/>
        <w:drawing>
          <wp:inline distT="0" distB="0" distL="0" distR="0" wp14:anchorId="18C5EBC6" wp14:editId="3F7DB3AB">
            <wp:extent cx="5314950" cy="5568950"/>
            <wp:effectExtent l="0" t="0" r="0" b="0"/>
            <wp:docPr id="172838385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568950"/>
                    </a:xfrm>
                    <a:prstGeom prst="rect">
                      <a:avLst/>
                    </a:prstGeom>
                    <a:noFill/>
                    <a:ln>
                      <a:noFill/>
                    </a:ln>
                  </pic:spPr>
                </pic:pic>
              </a:graphicData>
            </a:graphic>
          </wp:inline>
        </w:drawing>
      </w:r>
    </w:p>
    <w:p w14:paraId="105DC3B3" w14:textId="35610A77" w:rsidR="00C73581" w:rsidRDefault="002919A0">
      <w:pPr>
        <w:pStyle w:val="ab"/>
        <w:spacing w:line="360" w:lineRule="auto"/>
      </w:pPr>
      <w:r>
        <w:rPr>
          <w:rFonts w:hint="eastAsia"/>
        </w:rPr>
        <w:t>图四</w:t>
      </w:r>
    </w:p>
    <w:p w14:paraId="5009EA47" w14:textId="77777777" w:rsidR="00566785" w:rsidRDefault="00566785">
      <w:pPr>
        <w:pStyle w:val="ab"/>
        <w:spacing w:line="360" w:lineRule="auto"/>
      </w:pPr>
    </w:p>
    <w:p w14:paraId="2D422CFC" w14:textId="77777777" w:rsidR="00566785" w:rsidRDefault="00566785">
      <w:pPr>
        <w:pStyle w:val="ab"/>
        <w:spacing w:line="360" w:lineRule="auto"/>
      </w:pPr>
    </w:p>
    <w:p w14:paraId="344EFE64" w14:textId="61E51C2D" w:rsidR="00566785" w:rsidRDefault="00566785">
      <w:pPr>
        <w:pStyle w:val="ab"/>
        <w:spacing w:line="360" w:lineRule="auto"/>
      </w:pPr>
      <w:r>
        <w:rPr>
          <w:noProof/>
        </w:rPr>
        <w:lastRenderedPageBreak/>
        <w:drawing>
          <wp:inline distT="0" distB="0" distL="0" distR="0" wp14:anchorId="2D7AB640" wp14:editId="4C8D4035">
            <wp:extent cx="5575300" cy="3721100"/>
            <wp:effectExtent l="0" t="0" r="6350" b="0"/>
            <wp:docPr id="77708885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5300" cy="3721100"/>
                    </a:xfrm>
                    <a:prstGeom prst="rect">
                      <a:avLst/>
                    </a:prstGeom>
                    <a:noFill/>
                    <a:ln>
                      <a:noFill/>
                    </a:ln>
                  </pic:spPr>
                </pic:pic>
              </a:graphicData>
            </a:graphic>
          </wp:inline>
        </w:drawing>
      </w:r>
    </w:p>
    <w:p w14:paraId="417949CA" w14:textId="3687A86D" w:rsidR="00566785" w:rsidRDefault="00566785">
      <w:pPr>
        <w:pStyle w:val="ab"/>
        <w:spacing w:line="360" w:lineRule="auto"/>
        <w:rPr>
          <w:rFonts w:hint="eastAsia"/>
        </w:rPr>
      </w:pPr>
      <w:r>
        <w:rPr>
          <w:rFonts w:hint="eastAsia"/>
        </w:rPr>
        <w:t>图五</w:t>
      </w:r>
    </w:p>
    <w:p w14:paraId="78295A94" w14:textId="77777777" w:rsidR="00C73581" w:rsidRDefault="00C73581">
      <w:pPr>
        <w:pStyle w:val="ab"/>
        <w:spacing w:line="360" w:lineRule="auto"/>
        <w:jc w:val="both"/>
      </w:pPr>
    </w:p>
    <w:p w14:paraId="6584D494" w14:textId="77777777" w:rsidR="00C73581" w:rsidRDefault="00C73581">
      <w:pPr>
        <w:pStyle w:val="ab"/>
        <w:spacing w:line="360" w:lineRule="auto"/>
        <w:jc w:val="both"/>
      </w:pPr>
    </w:p>
    <w:p w14:paraId="33DC1280" w14:textId="77777777" w:rsidR="00C73581" w:rsidRDefault="00C73581">
      <w:pPr>
        <w:pStyle w:val="ab"/>
        <w:spacing w:line="360" w:lineRule="auto"/>
        <w:jc w:val="both"/>
      </w:pPr>
    </w:p>
    <w:p w14:paraId="1CBE7F16" w14:textId="77777777" w:rsidR="00C73581" w:rsidRDefault="00C73581">
      <w:pPr>
        <w:pStyle w:val="ab"/>
        <w:spacing w:line="360" w:lineRule="auto"/>
        <w:jc w:val="both"/>
      </w:pPr>
    </w:p>
    <w:p w14:paraId="531E2683" w14:textId="77777777" w:rsidR="00C73581" w:rsidRDefault="00C73581">
      <w:pPr>
        <w:pStyle w:val="ab"/>
        <w:spacing w:line="360" w:lineRule="auto"/>
        <w:jc w:val="both"/>
      </w:pPr>
    </w:p>
    <w:p w14:paraId="46B86048" w14:textId="77777777" w:rsidR="00C73581" w:rsidRDefault="00C73581">
      <w:pPr>
        <w:pStyle w:val="ab"/>
        <w:spacing w:line="360" w:lineRule="auto"/>
        <w:jc w:val="both"/>
      </w:pPr>
    </w:p>
    <w:p w14:paraId="2A528B31" w14:textId="77777777" w:rsidR="00C73581" w:rsidRDefault="00C73581">
      <w:pPr>
        <w:pStyle w:val="ab"/>
        <w:spacing w:line="360" w:lineRule="auto"/>
        <w:jc w:val="both"/>
      </w:pPr>
    </w:p>
    <w:p w14:paraId="3BB292E5" w14:textId="77777777" w:rsidR="00C73581" w:rsidRDefault="00C73581">
      <w:pPr>
        <w:pStyle w:val="ab"/>
        <w:spacing w:line="360" w:lineRule="auto"/>
        <w:jc w:val="both"/>
      </w:pPr>
    </w:p>
    <w:p w14:paraId="4CBA2898" w14:textId="77777777" w:rsidR="00C73581" w:rsidRDefault="00C73581">
      <w:pPr>
        <w:ind w:firstLineChars="200" w:firstLine="480"/>
        <w:jc w:val="center"/>
        <w:rPr>
          <w:rFonts w:ascii="华文中宋" w:eastAsia="华文中宋" w:hAnsi="华文中宋"/>
          <w:sz w:val="24"/>
        </w:rPr>
      </w:pPr>
    </w:p>
    <w:p w14:paraId="1CB41B0C" w14:textId="77777777" w:rsidR="00C73581" w:rsidRDefault="00C73581">
      <w:pPr>
        <w:ind w:firstLineChars="200" w:firstLine="480"/>
        <w:jc w:val="center"/>
        <w:rPr>
          <w:rFonts w:ascii="华文中宋" w:eastAsia="华文中宋" w:hAnsi="华文中宋"/>
          <w:sz w:val="24"/>
        </w:rPr>
      </w:pPr>
    </w:p>
    <w:p w14:paraId="447E6E4E" w14:textId="77777777" w:rsidR="00C73581" w:rsidRDefault="00C73581">
      <w:pPr>
        <w:ind w:firstLineChars="200" w:firstLine="420"/>
        <w:jc w:val="center"/>
      </w:pPr>
    </w:p>
    <w:p w14:paraId="415A8319" w14:textId="77777777" w:rsidR="00C73581" w:rsidRDefault="00C73581">
      <w:pPr>
        <w:ind w:firstLineChars="200" w:firstLine="420"/>
        <w:jc w:val="center"/>
      </w:pPr>
    </w:p>
    <w:p w14:paraId="48642AFA" w14:textId="77777777" w:rsidR="00C73581" w:rsidRDefault="00C73581">
      <w:pPr>
        <w:ind w:firstLineChars="200" w:firstLine="420"/>
        <w:jc w:val="center"/>
      </w:pPr>
    </w:p>
    <w:p w14:paraId="45D18AF1" w14:textId="77777777" w:rsidR="00C73581" w:rsidRDefault="00C73581">
      <w:pPr>
        <w:ind w:firstLineChars="200" w:firstLine="420"/>
        <w:jc w:val="center"/>
      </w:pPr>
    </w:p>
    <w:p w14:paraId="12CC1C64" w14:textId="77777777" w:rsidR="00C73581" w:rsidRDefault="00C73581">
      <w:pPr>
        <w:ind w:firstLineChars="200" w:firstLine="420"/>
        <w:jc w:val="center"/>
      </w:pPr>
    </w:p>
    <w:p w14:paraId="3B69DDD4" w14:textId="77777777" w:rsidR="00C73581" w:rsidRDefault="00C73581">
      <w:pPr>
        <w:pStyle w:val="ab"/>
        <w:spacing w:line="360" w:lineRule="auto"/>
        <w:rPr>
          <w:rFonts w:eastAsia="宋体"/>
        </w:rPr>
      </w:pPr>
    </w:p>
    <w:p w14:paraId="676FDC04" w14:textId="77777777" w:rsidR="00C73581" w:rsidRDefault="00C73581">
      <w:pPr>
        <w:pStyle w:val="ab"/>
        <w:spacing w:line="360" w:lineRule="auto"/>
        <w:rPr>
          <w:rFonts w:eastAsia="宋体"/>
        </w:rPr>
      </w:pPr>
    </w:p>
    <w:p w14:paraId="495862AA" w14:textId="77777777" w:rsidR="00C73581" w:rsidRDefault="00C73581">
      <w:pPr>
        <w:ind w:firstLineChars="200" w:firstLine="442"/>
        <w:jc w:val="center"/>
        <w:rPr>
          <w:rFonts w:ascii="宋体" w:hAnsi="宋体" w:cs="宋体"/>
          <w:b/>
          <w:color w:val="000000"/>
          <w:sz w:val="22"/>
          <w:szCs w:val="22"/>
        </w:rPr>
      </w:pPr>
    </w:p>
    <w:p w14:paraId="5ECDEC19" w14:textId="77777777" w:rsidR="00C73581" w:rsidRDefault="00C73581">
      <w:pPr>
        <w:ind w:firstLineChars="200" w:firstLine="442"/>
        <w:jc w:val="center"/>
        <w:rPr>
          <w:rFonts w:ascii="宋体" w:hAnsi="宋体" w:cs="宋体"/>
          <w:b/>
          <w:color w:val="000000"/>
          <w:sz w:val="22"/>
          <w:szCs w:val="22"/>
        </w:rPr>
      </w:pPr>
    </w:p>
    <w:p w14:paraId="1CE75AD8" w14:textId="77777777" w:rsidR="00C73581" w:rsidRDefault="00C73581">
      <w:pPr>
        <w:pStyle w:val="ab"/>
        <w:spacing w:line="360" w:lineRule="auto"/>
        <w:rPr>
          <w:rFonts w:eastAsia="宋体"/>
        </w:rPr>
      </w:pPr>
    </w:p>
    <w:p w14:paraId="7294C930" w14:textId="77777777" w:rsidR="00C73581" w:rsidRDefault="00C73581"/>
    <w:sectPr w:rsidR="00C73581">
      <w:footerReference w:type="default" r:id="rId15"/>
      <w:pgSz w:w="11906" w:h="16838"/>
      <w:pgMar w:top="1418" w:right="1418" w:bottom="851"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BD441" w14:textId="77777777" w:rsidR="00F312F0" w:rsidRDefault="00F312F0">
      <w:r>
        <w:separator/>
      </w:r>
    </w:p>
  </w:endnote>
  <w:endnote w:type="continuationSeparator" w:id="0">
    <w:p w14:paraId="4DD783BC" w14:textId="77777777" w:rsidR="00F312F0" w:rsidRDefault="00F312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0" w:usb1="00000000" w:usb2="00000010" w:usb3="00000000" w:csb0="00040000" w:csb1="00000000"/>
  </w:font>
  <w:font w:name="华文中宋">
    <w:altName w:val="汉仪书宋二KW"/>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7C2D1" w14:textId="77777777" w:rsidR="00C73581" w:rsidRDefault="00000000">
    <w:pPr>
      <w:pStyle w:val="a4"/>
      <w:jc w:val="center"/>
    </w:pPr>
    <w:r>
      <w:fldChar w:fldCharType="begin"/>
    </w:r>
    <w:r>
      <w:instrText xml:space="preserve"> PAGE   \* MERGEFORMAT </w:instrText>
    </w:r>
    <w:r>
      <w:fldChar w:fldCharType="separate"/>
    </w:r>
    <w:r>
      <w:rPr>
        <w:lang w:val="zh-CN"/>
      </w:rPr>
      <w:t>1</w:t>
    </w:r>
    <w:r>
      <w:fldChar w:fldCharType="end"/>
    </w:r>
  </w:p>
  <w:p w14:paraId="3CC9B5BA" w14:textId="77777777" w:rsidR="00C73581" w:rsidRDefault="00C73581">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B827A" w14:textId="77777777" w:rsidR="00C73581" w:rsidRDefault="00000000">
    <w:pPr>
      <w:pStyle w:val="a4"/>
      <w:jc w:val="center"/>
    </w:pPr>
    <w:r>
      <w:fldChar w:fldCharType="begin"/>
    </w:r>
    <w:r>
      <w:instrText xml:space="preserve"> PAGE   \* MERGEFORMAT </w:instrText>
    </w:r>
    <w:r>
      <w:fldChar w:fldCharType="separate"/>
    </w:r>
    <w:r>
      <w:rPr>
        <w:lang w:val="zh-CN"/>
      </w:rPr>
      <w:t>3</w:t>
    </w:r>
    <w:r>
      <w:fldChar w:fldCharType="end"/>
    </w:r>
  </w:p>
  <w:p w14:paraId="1EA9539F" w14:textId="77777777" w:rsidR="00C73581" w:rsidRDefault="00C73581">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140687" w14:textId="77777777" w:rsidR="00C73581" w:rsidRDefault="00000000">
    <w:pPr>
      <w:pStyle w:val="a4"/>
      <w:jc w:val="center"/>
    </w:pPr>
    <w:r>
      <w:fldChar w:fldCharType="begin"/>
    </w:r>
    <w:r>
      <w:instrText xml:space="preserve"> PAGE   \* MERGEFORMAT </w:instrText>
    </w:r>
    <w:r>
      <w:fldChar w:fldCharType="separate"/>
    </w:r>
    <w:r>
      <w:rPr>
        <w:lang w:val="zh-CN"/>
      </w:rPr>
      <w:t>1</w:t>
    </w:r>
    <w:r>
      <w:fldChar w:fldCharType="end"/>
    </w:r>
  </w:p>
  <w:p w14:paraId="294B594A" w14:textId="77777777" w:rsidR="00C73581" w:rsidRDefault="00C73581">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A9A806" w14:textId="77777777" w:rsidR="00F312F0" w:rsidRDefault="00F312F0">
      <w:r>
        <w:separator/>
      </w:r>
    </w:p>
  </w:footnote>
  <w:footnote w:type="continuationSeparator" w:id="0">
    <w:p w14:paraId="0C63DC1F" w14:textId="77777777" w:rsidR="00F312F0" w:rsidRDefault="00F312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C4450"/>
    <w:multiLevelType w:val="multilevel"/>
    <w:tmpl w:val="F46A49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463E4"/>
    <w:multiLevelType w:val="multilevel"/>
    <w:tmpl w:val="C4EE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3787051">
    <w:abstractNumId w:val="0"/>
  </w:num>
  <w:num w:numId="2" w16cid:durableId="44014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DAF716E"/>
    <w:rsid w:val="00686F86"/>
    <w:rsid w:val="38EA120D"/>
    <w:rsid w:val="43F77421"/>
    <w:rsid w:val="59DF35AA"/>
    <w:rsid w:val="5AEE3D18"/>
    <w:rsid w:val="5DAF716E"/>
    <w:rsid w:val="5FBB0EAC"/>
    <w:rsid w:val="5FCB937D"/>
    <w:rsid w:val="6B7F37FF"/>
    <w:rsid w:val="6FEEA5A1"/>
    <w:rsid w:val="79FE329E"/>
    <w:rsid w:val="7BF36F6C"/>
    <w:rsid w:val="7BFD0B4B"/>
    <w:rsid w:val="7C7F56D7"/>
    <w:rsid w:val="7C7FC6D7"/>
    <w:rsid w:val="7EDFBF45"/>
    <w:rsid w:val="7EF7B9C5"/>
    <w:rsid w:val="7F6FA253"/>
    <w:rsid w:val="7FCEF28A"/>
    <w:rsid w:val="7FF76566"/>
    <w:rsid w:val="7FFF4469"/>
    <w:rsid w:val="AAFD1869"/>
    <w:rsid w:val="AFB1EE47"/>
    <w:rsid w:val="CF56134F"/>
    <w:rsid w:val="DBDE5509"/>
    <w:rsid w:val="DF5E4B69"/>
    <w:rsid w:val="DFE863C7"/>
    <w:rsid w:val="EEBAB77E"/>
    <w:rsid w:val="F3BBE1F9"/>
    <w:rsid w:val="F4934D1A"/>
    <w:rsid w:val="F5F49613"/>
    <w:rsid w:val="F7FF0007"/>
    <w:rsid w:val="F7FFC609"/>
    <w:rsid w:val="FB719E7E"/>
    <w:rsid w:val="FBE74982"/>
    <w:rsid w:val="FD29F056"/>
    <w:rsid w:val="FDDFAE80"/>
    <w:rsid w:val="FEE6652E"/>
    <w:rsid w:val="FEFD55A0"/>
    <w:rsid w:val="FEFE30EF"/>
    <w:rsid w:val="FEFE9ACC"/>
    <w:rsid w:val="FFF389C5"/>
    <w:rsid w:val="FFF7238F"/>
    <w:rsid w:val="002919A0"/>
    <w:rsid w:val="003C5C42"/>
    <w:rsid w:val="00566785"/>
    <w:rsid w:val="00791E5F"/>
    <w:rsid w:val="00C73581"/>
    <w:rsid w:val="00F3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5C1584A"/>
  <w15:docId w15:val="{A9E8ECA4-E8FF-4625-9557-822DA7AB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footer" w:qFormat="1"/>
    <w:lsdException w:name="caption" w:semiHidden="1" w:unhideWhenUsed="1" w:qFormat="1"/>
    <w:lsdException w:name="annotation reference"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szCs w:val="18"/>
    </w:rPr>
  </w:style>
  <w:style w:type="character" w:styleId="a5">
    <w:name w:val="annotation reference"/>
    <w:qFormat/>
    <w:rPr>
      <w:sz w:val="21"/>
      <w:szCs w:val="21"/>
    </w:rPr>
  </w:style>
  <w:style w:type="paragraph" w:customStyle="1" w:styleId="a6">
    <w:name w:val="头"/>
    <w:basedOn w:val="a"/>
    <w:qFormat/>
    <w:pPr>
      <w:pBdr>
        <w:bottom w:val="single" w:sz="12" w:space="1" w:color="auto"/>
      </w:pBdr>
      <w:spacing w:line="500" w:lineRule="exact"/>
      <w:jc w:val="center"/>
    </w:pPr>
    <w:rPr>
      <w:rFonts w:ascii="黑体" w:eastAsia="黑体" w:hAnsi="宋体"/>
      <w:color w:val="000000"/>
      <w:sz w:val="36"/>
      <w:szCs w:val="36"/>
    </w:rPr>
  </w:style>
  <w:style w:type="paragraph" w:customStyle="1" w:styleId="a7">
    <w:name w:val="首段落"/>
    <w:basedOn w:val="a"/>
    <w:qFormat/>
    <w:pPr>
      <w:spacing w:beforeLines="50" w:before="120" w:line="500" w:lineRule="exact"/>
      <w:ind w:firstLine="561"/>
    </w:pPr>
    <w:rPr>
      <w:rFonts w:eastAsia="仿宋_GB2312"/>
      <w:color w:val="000000"/>
      <w:sz w:val="28"/>
    </w:rPr>
  </w:style>
  <w:style w:type="paragraph" w:customStyle="1" w:styleId="a8">
    <w:name w:val="续段落"/>
    <w:basedOn w:val="a"/>
    <w:link w:val="Char"/>
    <w:qFormat/>
    <w:pPr>
      <w:spacing w:line="500" w:lineRule="exact"/>
      <w:ind w:firstLine="561"/>
    </w:pPr>
    <w:rPr>
      <w:rFonts w:eastAsia="仿宋_GB2312"/>
      <w:color w:val="000000"/>
      <w:sz w:val="28"/>
      <w:szCs w:val="28"/>
    </w:rPr>
  </w:style>
  <w:style w:type="paragraph" w:customStyle="1" w:styleId="a9">
    <w:name w:val="发明名称"/>
    <w:basedOn w:val="a"/>
    <w:next w:val="a"/>
    <w:qFormat/>
    <w:pPr>
      <w:spacing w:before="120" w:line="500" w:lineRule="exact"/>
      <w:jc w:val="center"/>
    </w:pPr>
    <w:rPr>
      <w:rFonts w:ascii="黑体" w:eastAsia="黑体" w:hAnsi="宋体"/>
      <w:sz w:val="32"/>
      <w:szCs w:val="32"/>
    </w:rPr>
  </w:style>
  <w:style w:type="paragraph" w:customStyle="1" w:styleId="aa">
    <w:name w:val="总标题"/>
    <w:basedOn w:val="a"/>
    <w:next w:val="a8"/>
    <w:qFormat/>
    <w:pPr>
      <w:spacing w:beforeLines="50" w:before="120" w:line="500" w:lineRule="exact"/>
    </w:pPr>
    <w:rPr>
      <w:rFonts w:ascii="黑体" w:eastAsia="黑体" w:hAnsi="宋体"/>
      <w:bCs/>
      <w:sz w:val="28"/>
    </w:rPr>
  </w:style>
  <w:style w:type="paragraph" w:customStyle="1" w:styleId="ab">
    <w:name w:val="图标"/>
    <w:basedOn w:val="a"/>
    <w:qFormat/>
    <w:pPr>
      <w:jc w:val="center"/>
    </w:pPr>
    <w:rPr>
      <w:rFonts w:eastAsia="仿宋_GB2312"/>
      <w:sz w:val="28"/>
      <w:szCs w:val="28"/>
    </w:rPr>
  </w:style>
  <w:style w:type="character" w:styleId="ac">
    <w:name w:val="line number"/>
    <w:basedOn w:val="a0"/>
    <w:rsid w:val="003C5C42"/>
  </w:style>
  <w:style w:type="paragraph" w:styleId="ad">
    <w:name w:val="Normal (Web)"/>
    <w:basedOn w:val="a"/>
    <w:rsid w:val="00566785"/>
    <w:rPr>
      <w:sz w:val="24"/>
    </w:rPr>
  </w:style>
  <w:style w:type="character" w:customStyle="1" w:styleId="Char">
    <w:name w:val="续段落 Char"/>
    <w:link w:val="a8"/>
    <w:qFormat/>
    <w:rsid w:val="00791E5F"/>
    <w:rPr>
      <w:rFonts w:eastAsia="仿宋_GB2312"/>
      <w:color w:val="000000"/>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9901966">
      <w:bodyDiv w:val="1"/>
      <w:marLeft w:val="0"/>
      <w:marRight w:val="0"/>
      <w:marTop w:val="0"/>
      <w:marBottom w:val="0"/>
      <w:divBdr>
        <w:top w:val="none" w:sz="0" w:space="0" w:color="auto"/>
        <w:left w:val="none" w:sz="0" w:space="0" w:color="auto"/>
        <w:bottom w:val="none" w:sz="0" w:space="0" w:color="auto"/>
        <w:right w:val="none" w:sz="0" w:space="0" w:color="auto"/>
      </w:divBdr>
    </w:div>
    <w:div w:id="318658654">
      <w:bodyDiv w:val="1"/>
      <w:marLeft w:val="0"/>
      <w:marRight w:val="0"/>
      <w:marTop w:val="0"/>
      <w:marBottom w:val="0"/>
      <w:divBdr>
        <w:top w:val="none" w:sz="0" w:space="0" w:color="auto"/>
        <w:left w:val="none" w:sz="0" w:space="0" w:color="auto"/>
        <w:bottom w:val="none" w:sz="0" w:space="0" w:color="auto"/>
        <w:right w:val="none" w:sz="0" w:space="0" w:color="auto"/>
      </w:divBdr>
    </w:div>
    <w:div w:id="336545342">
      <w:bodyDiv w:val="1"/>
      <w:marLeft w:val="0"/>
      <w:marRight w:val="0"/>
      <w:marTop w:val="0"/>
      <w:marBottom w:val="0"/>
      <w:divBdr>
        <w:top w:val="none" w:sz="0" w:space="0" w:color="auto"/>
        <w:left w:val="none" w:sz="0" w:space="0" w:color="auto"/>
        <w:bottom w:val="none" w:sz="0" w:space="0" w:color="auto"/>
        <w:right w:val="none" w:sz="0" w:space="0" w:color="auto"/>
      </w:divBdr>
    </w:div>
    <w:div w:id="425274876">
      <w:bodyDiv w:val="1"/>
      <w:marLeft w:val="0"/>
      <w:marRight w:val="0"/>
      <w:marTop w:val="0"/>
      <w:marBottom w:val="0"/>
      <w:divBdr>
        <w:top w:val="none" w:sz="0" w:space="0" w:color="auto"/>
        <w:left w:val="none" w:sz="0" w:space="0" w:color="auto"/>
        <w:bottom w:val="none" w:sz="0" w:space="0" w:color="auto"/>
        <w:right w:val="none" w:sz="0" w:space="0" w:color="auto"/>
      </w:divBdr>
    </w:div>
    <w:div w:id="490800354">
      <w:bodyDiv w:val="1"/>
      <w:marLeft w:val="0"/>
      <w:marRight w:val="0"/>
      <w:marTop w:val="0"/>
      <w:marBottom w:val="0"/>
      <w:divBdr>
        <w:top w:val="none" w:sz="0" w:space="0" w:color="auto"/>
        <w:left w:val="none" w:sz="0" w:space="0" w:color="auto"/>
        <w:bottom w:val="none" w:sz="0" w:space="0" w:color="auto"/>
        <w:right w:val="none" w:sz="0" w:space="0" w:color="auto"/>
      </w:divBdr>
    </w:div>
    <w:div w:id="764157608">
      <w:bodyDiv w:val="1"/>
      <w:marLeft w:val="0"/>
      <w:marRight w:val="0"/>
      <w:marTop w:val="0"/>
      <w:marBottom w:val="0"/>
      <w:divBdr>
        <w:top w:val="none" w:sz="0" w:space="0" w:color="auto"/>
        <w:left w:val="none" w:sz="0" w:space="0" w:color="auto"/>
        <w:bottom w:val="none" w:sz="0" w:space="0" w:color="auto"/>
        <w:right w:val="none" w:sz="0" w:space="0" w:color="auto"/>
      </w:divBdr>
    </w:div>
    <w:div w:id="818886062">
      <w:bodyDiv w:val="1"/>
      <w:marLeft w:val="0"/>
      <w:marRight w:val="0"/>
      <w:marTop w:val="0"/>
      <w:marBottom w:val="0"/>
      <w:divBdr>
        <w:top w:val="none" w:sz="0" w:space="0" w:color="auto"/>
        <w:left w:val="none" w:sz="0" w:space="0" w:color="auto"/>
        <w:bottom w:val="none" w:sz="0" w:space="0" w:color="auto"/>
        <w:right w:val="none" w:sz="0" w:space="0" w:color="auto"/>
      </w:divBdr>
    </w:div>
    <w:div w:id="1318151916">
      <w:bodyDiv w:val="1"/>
      <w:marLeft w:val="0"/>
      <w:marRight w:val="0"/>
      <w:marTop w:val="0"/>
      <w:marBottom w:val="0"/>
      <w:divBdr>
        <w:top w:val="none" w:sz="0" w:space="0" w:color="auto"/>
        <w:left w:val="none" w:sz="0" w:space="0" w:color="auto"/>
        <w:bottom w:val="none" w:sz="0" w:space="0" w:color="auto"/>
        <w:right w:val="none" w:sz="0" w:space="0" w:color="auto"/>
      </w:divBdr>
    </w:div>
    <w:div w:id="1464620666">
      <w:bodyDiv w:val="1"/>
      <w:marLeft w:val="0"/>
      <w:marRight w:val="0"/>
      <w:marTop w:val="0"/>
      <w:marBottom w:val="0"/>
      <w:divBdr>
        <w:top w:val="none" w:sz="0" w:space="0" w:color="auto"/>
        <w:left w:val="none" w:sz="0" w:space="0" w:color="auto"/>
        <w:bottom w:val="none" w:sz="0" w:space="0" w:color="auto"/>
        <w:right w:val="none" w:sz="0" w:space="0" w:color="auto"/>
      </w:divBdr>
    </w:div>
    <w:div w:id="1739670132">
      <w:bodyDiv w:val="1"/>
      <w:marLeft w:val="0"/>
      <w:marRight w:val="0"/>
      <w:marTop w:val="0"/>
      <w:marBottom w:val="0"/>
      <w:divBdr>
        <w:top w:val="none" w:sz="0" w:space="0" w:color="auto"/>
        <w:left w:val="none" w:sz="0" w:space="0" w:color="auto"/>
        <w:bottom w:val="none" w:sz="0" w:space="0" w:color="auto"/>
        <w:right w:val="none" w:sz="0" w:space="0" w:color="auto"/>
      </w:divBdr>
    </w:div>
    <w:div w:id="1801992320">
      <w:bodyDiv w:val="1"/>
      <w:marLeft w:val="0"/>
      <w:marRight w:val="0"/>
      <w:marTop w:val="0"/>
      <w:marBottom w:val="0"/>
      <w:divBdr>
        <w:top w:val="none" w:sz="0" w:space="0" w:color="auto"/>
        <w:left w:val="none" w:sz="0" w:space="0" w:color="auto"/>
        <w:bottom w:val="none" w:sz="0" w:space="0" w:color="auto"/>
        <w:right w:val="none" w:sz="0" w:space="0" w:color="auto"/>
      </w:divBdr>
    </w:div>
    <w:div w:id="1991867306">
      <w:bodyDiv w:val="1"/>
      <w:marLeft w:val="0"/>
      <w:marRight w:val="0"/>
      <w:marTop w:val="0"/>
      <w:marBottom w:val="0"/>
      <w:divBdr>
        <w:top w:val="none" w:sz="0" w:space="0" w:color="auto"/>
        <w:left w:val="none" w:sz="0" w:space="0" w:color="auto"/>
        <w:bottom w:val="none" w:sz="0" w:space="0" w:color="auto"/>
        <w:right w:val="none" w:sz="0" w:space="0" w:color="auto"/>
      </w:divBdr>
    </w:div>
    <w:div w:id="2041783298">
      <w:bodyDiv w:val="1"/>
      <w:marLeft w:val="0"/>
      <w:marRight w:val="0"/>
      <w:marTop w:val="0"/>
      <w:marBottom w:val="0"/>
      <w:divBdr>
        <w:top w:val="none" w:sz="0" w:space="0" w:color="auto"/>
        <w:left w:val="none" w:sz="0" w:space="0" w:color="auto"/>
        <w:bottom w:val="none" w:sz="0" w:space="0" w:color="auto"/>
        <w:right w:val="none" w:sz="0" w:space="0" w:color="auto"/>
      </w:divBdr>
    </w:div>
    <w:div w:id="2043289263">
      <w:bodyDiv w:val="1"/>
      <w:marLeft w:val="0"/>
      <w:marRight w:val="0"/>
      <w:marTop w:val="0"/>
      <w:marBottom w:val="0"/>
      <w:divBdr>
        <w:top w:val="none" w:sz="0" w:space="0" w:color="auto"/>
        <w:left w:val="none" w:sz="0" w:space="0" w:color="auto"/>
        <w:bottom w:val="none" w:sz="0" w:space="0" w:color="auto"/>
        <w:right w:val="none" w:sz="0" w:space="0" w:color="auto"/>
      </w:divBdr>
    </w:div>
    <w:div w:id="2069571399">
      <w:bodyDiv w:val="1"/>
      <w:marLeft w:val="0"/>
      <w:marRight w:val="0"/>
      <w:marTop w:val="0"/>
      <w:marBottom w:val="0"/>
      <w:divBdr>
        <w:top w:val="none" w:sz="0" w:space="0" w:color="auto"/>
        <w:left w:val="none" w:sz="0" w:space="0" w:color="auto"/>
        <w:bottom w:val="none" w:sz="0" w:space="0" w:color="auto"/>
        <w:right w:val="none" w:sz="0" w:space="0" w:color="auto"/>
      </w:divBdr>
    </w:div>
    <w:div w:id="2093620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20</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c:creator>
  <cp:lastModifiedBy>ykk yk</cp:lastModifiedBy>
  <cp:revision>2</cp:revision>
  <dcterms:created xsi:type="dcterms:W3CDTF">2025-01-15T08:25:00Z</dcterms:created>
  <dcterms:modified xsi:type="dcterms:W3CDTF">2025-01-23T15:41:00Z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2052-6.13.2.8918</vt:lpwstr>
  </property>
  <property fmtid="{D5CDD505-2E9C-101B-9397-08002B2CF9AE}" pid="3" name="ICV">
    <vt:lpwstr>1E5A90CE92D97F500BCE8467465DE7E4_41</vt:lpwstr>
  </property>
</Properties>
</file>