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C16EE3" w14:textId="77777777" w:rsidR="00F421CE" w:rsidRDefault="00F421CE" w:rsidP="00F421CE">
      <w:r>
        <w:br w:type="textWrapping" w:clear="all"/>
      </w:r>
    </w:p>
    <w:p w14:paraId="48362A5D" w14:textId="77777777" w:rsidR="003C73EA" w:rsidRDefault="003C73EA" w:rsidP="00F421CE"/>
    <w:p w14:paraId="02C7DE59" w14:textId="2B12CD67" w:rsidR="00F421CE" w:rsidRDefault="00F421CE" w:rsidP="00F421CE">
      <w:pPr>
        <w:pStyle w:val="a3"/>
        <w:jc w:val="center"/>
        <w:rPr>
          <w:rFonts w:ascii="DFKai-SB" w:eastAsia="DFKai-SB" w:hAnsi="DFKai-SB"/>
          <w:sz w:val="40"/>
          <w:szCs w:val="40"/>
        </w:rPr>
      </w:pPr>
      <w:r w:rsidRPr="00F421CE">
        <w:rPr>
          <w:rFonts w:ascii="DFKai-SB" w:eastAsia="DFKai-SB" w:hAnsi="DFKai-SB"/>
          <w:sz w:val="40"/>
          <w:szCs w:val="40"/>
        </w:rPr>
        <w:t>台股食品類股趨勢分析與投資策略回測：相關性與風險對沖之研究</w:t>
      </w:r>
    </w:p>
    <w:p w14:paraId="48A9B4AE" w14:textId="77777777" w:rsidR="00F421CE" w:rsidRDefault="00F421CE" w:rsidP="00F421CE">
      <w:pPr>
        <w:jc w:val="center"/>
        <w:rPr>
          <w:rFonts w:cs="Times New Roman" w:hint="eastAsia"/>
          <w:sz w:val="32"/>
          <w:szCs w:val="32"/>
        </w:rPr>
      </w:pPr>
    </w:p>
    <w:p w14:paraId="31854178" w14:textId="77777777" w:rsidR="00F421CE" w:rsidRDefault="00F421CE" w:rsidP="00F421CE"/>
    <w:p w14:paraId="602D634C" w14:textId="77777777" w:rsidR="00F421CE" w:rsidRDefault="00F421CE" w:rsidP="00F421CE"/>
    <w:p w14:paraId="4847381F" w14:textId="77777777" w:rsidR="00F421CE" w:rsidRDefault="00F421CE" w:rsidP="00F421CE"/>
    <w:p w14:paraId="6F40CB1C" w14:textId="77777777" w:rsidR="00F421CE" w:rsidRDefault="00F421CE" w:rsidP="00F421CE"/>
    <w:p w14:paraId="23BCE6D0" w14:textId="77777777" w:rsidR="00F421CE" w:rsidRDefault="00F421CE" w:rsidP="00F421CE"/>
    <w:p w14:paraId="20EF73EF" w14:textId="77777777" w:rsidR="00F421CE" w:rsidRDefault="00F421CE" w:rsidP="00F421CE"/>
    <w:p w14:paraId="1D3F5E69" w14:textId="77777777" w:rsidR="00F421CE" w:rsidRDefault="00F421CE" w:rsidP="00F421CE"/>
    <w:p w14:paraId="231599AB" w14:textId="77777777" w:rsidR="00F421CE" w:rsidRDefault="00F421CE" w:rsidP="00F421CE"/>
    <w:p w14:paraId="0EB4FF74" w14:textId="77777777" w:rsidR="00F421CE" w:rsidRDefault="00F421CE" w:rsidP="00F421CE"/>
    <w:p w14:paraId="50B8BFCF" w14:textId="77777777" w:rsidR="00F421CE" w:rsidRDefault="00F421CE" w:rsidP="00F421CE">
      <w:pPr>
        <w:jc w:val="center"/>
        <w:rPr>
          <w:rFonts w:ascii="DFKai-SB" w:hAnsi="DFKai-SB"/>
          <w:sz w:val="40"/>
          <w:szCs w:val="40"/>
        </w:rPr>
      </w:pPr>
      <w:r>
        <w:rPr>
          <w:rFonts w:ascii="DFKai-SB" w:hAnsi="DFKai-SB" w:hint="eastAsia"/>
          <w:sz w:val="40"/>
          <w:szCs w:val="40"/>
        </w:rPr>
        <w:t>科系：資工四</w:t>
      </w:r>
    </w:p>
    <w:p w14:paraId="5AA34AA7" w14:textId="77777777" w:rsidR="00F421CE" w:rsidRDefault="00F421CE" w:rsidP="00F421CE">
      <w:pPr>
        <w:jc w:val="center"/>
        <w:rPr>
          <w:rFonts w:ascii="DFKai-SB" w:hAnsi="DFKai-SB" w:hint="eastAsia"/>
          <w:sz w:val="40"/>
          <w:szCs w:val="40"/>
        </w:rPr>
      </w:pPr>
      <w:r>
        <w:rPr>
          <w:rFonts w:ascii="DFKai-SB" w:hAnsi="DFKai-SB" w:hint="eastAsia"/>
          <w:sz w:val="40"/>
          <w:szCs w:val="40"/>
        </w:rPr>
        <w:t>學號：</w:t>
      </w:r>
      <w:r>
        <w:rPr>
          <w:rFonts w:cs="Times New Roman"/>
          <w:sz w:val="40"/>
          <w:szCs w:val="40"/>
        </w:rPr>
        <w:t>110590034</w:t>
      </w:r>
    </w:p>
    <w:p w14:paraId="4573DC6F" w14:textId="77777777" w:rsidR="00F421CE" w:rsidRDefault="00F421CE" w:rsidP="00F421CE">
      <w:pPr>
        <w:jc w:val="center"/>
        <w:rPr>
          <w:rFonts w:ascii="DFKai-SB" w:hAnsi="DFKai-SB" w:hint="eastAsia"/>
          <w:sz w:val="40"/>
          <w:szCs w:val="40"/>
        </w:rPr>
      </w:pPr>
      <w:r>
        <w:rPr>
          <w:rFonts w:ascii="DFKai-SB" w:hAnsi="DFKai-SB" w:hint="eastAsia"/>
          <w:sz w:val="40"/>
          <w:szCs w:val="40"/>
        </w:rPr>
        <w:t>姓名：楊榮鈞</w:t>
      </w:r>
    </w:p>
    <w:p w14:paraId="08DC5A28" w14:textId="77777777" w:rsidR="00F421CE" w:rsidRDefault="00F421CE" w:rsidP="00F421CE">
      <w:pPr>
        <w:rPr>
          <w:rFonts w:ascii="DFKai-SB" w:hAnsi="DFKai-SB" w:hint="eastAsia"/>
          <w:sz w:val="40"/>
          <w:szCs w:val="40"/>
        </w:rPr>
      </w:pPr>
      <w:r>
        <w:rPr>
          <w:rFonts w:ascii="DFKai-SB" w:hAnsi="DFKai-SB" w:hint="eastAsia"/>
          <w:kern w:val="0"/>
          <w:sz w:val="40"/>
          <w:szCs w:val="40"/>
          <w14:ligatures w14:val="none"/>
        </w:rPr>
        <w:br w:type="page"/>
      </w:r>
    </w:p>
    <w:p w14:paraId="087B5D1E" w14:textId="77777777" w:rsidR="00F421CE" w:rsidRDefault="00F421CE" w:rsidP="00F421CE">
      <w:pPr>
        <w:rPr>
          <w:rFonts w:hint="eastAsia"/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 xml:space="preserve">1. </w:t>
      </w:r>
      <w:r>
        <w:rPr>
          <w:rFonts w:hint="eastAsia"/>
          <w:b/>
          <w:bCs/>
          <w:noProof/>
          <w:sz w:val="32"/>
          <w:szCs w:val="32"/>
        </w:rPr>
        <w:t>摘要</w:t>
      </w:r>
    </w:p>
    <w:p w14:paraId="7FAFFE4B" w14:textId="77777777" w:rsidR="00F421CE" w:rsidRDefault="00F421CE" w:rsidP="00F421CE">
      <w:pPr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本報告分析台灣食品股與台指期間的相關性以及趨勢，以探討該行業背後的市場連動關係。報告選擇食品股中皆具以以下六個重點公司進行詳細分析：味全</w:t>
      </w:r>
      <w:r>
        <w:rPr>
          <w:noProof/>
          <w:sz w:val="24"/>
          <w:szCs w:val="24"/>
        </w:rPr>
        <w:t xml:space="preserve"> (1201.TW)</w:t>
      </w:r>
      <w:r>
        <w:rPr>
          <w:rFonts w:hint="eastAsia"/>
          <w:noProof/>
          <w:sz w:val="24"/>
          <w:szCs w:val="24"/>
        </w:rPr>
        <w:t>，統一</w:t>
      </w:r>
      <w:r>
        <w:rPr>
          <w:noProof/>
          <w:sz w:val="24"/>
          <w:szCs w:val="24"/>
        </w:rPr>
        <w:t xml:space="preserve"> (1216.TW)</w:t>
      </w:r>
      <w:r>
        <w:rPr>
          <w:rFonts w:hint="eastAsia"/>
          <w:noProof/>
          <w:sz w:val="24"/>
          <w:szCs w:val="24"/>
        </w:rPr>
        <w:t>，愛之味</w:t>
      </w:r>
      <w:r>
        <w:rPr>
          <w:noProof/>
          <w:sz w:val="24"/>
          <w:szCs w:val="24"/>
        </w:rPr>
        <w:t xml:space="preserve"> (1217.TW)</w:t>
      </w:r>
      <w:r>
        <w:rPr>
          <w:rFonts w:hint="eastAsia"/>
          <w:noProof/>
          <w:sz w:val="24"/>
          <w:szCs w:val="24"/>
        </w:rPr>
        <w:t>，泰山</w:t>
      </w:r>
      <w:r>
        <w:rPr>
          <w:noProof/>
          <w:sz w:val="24"/>
          <w:szCs w:val="24"/>
        </w:rPr>
        <w:t xml:space="preserve"> (1218.TW)</w:t>
      </w:r>
      <w:r>
        <w:rPr>
          <w:rFonts w:hint="eastAsia"/>
          <w:noProof/>
          <w:sz w:val="24"/>
          <w:szCs w:val="24"/>
        </w:rPr>
        <w:t>，黑松</w:t>
      </w:r>
      <w:r>
        <w:rPr>
          <w:noProof/>
          <w:sz w:val="24"/>
          <w:szCs w:val="24"/>
        </w:rPr>
        <w:t xml:space="preserve"> (1234.TW)</w:t>
      </w:r>
      <w:r>
        <w:rPr>
          <w:rFonts w:hint="eastAsia"/>
          <w:noProof/>
          <w:sz w:val="24"/>
          <w:szCs w:val="24"/>
        </w:rPr>
        <w:t>，台鹽</w:t>
      </w:r>
      <w:r>
        <w:rPr>
          <w:noProof/>
          <w:sz w:val="24"/>
          <w:szCs w:val="24"/>
        </w:rPr>
        <w:t xml:space="preserve"> (1737.TW)</w:t>
      </w:r>
      <w:r>
        <w:rPr>
          <w:rFonts w:hint="eastAsia"/>
          <w:noProof/>
          <w:sz w:val="24"/>
          <w:szCs w:val="24"/>
        </w:rPr>
        <w:t>。</w:t>
      </w:r>
    </w:p>
    <w:p w14:paraId="1DBB7E81" w14:textId="77777777" w:rsidR="00F421CE" w:rsidRDefault="00F421CE" w:rsidP="00F421CE">
      <w:pPr>
        <w:rPr>
          <w:noProof/>
        </w:rPr>
      </w:pPr>
      <w:r>
        <w:rPr>
          <w:rFonts w:hint="eastAsia"/>
          <w:noProof/>
          <w:sz w:val="24"/>
          <w:szCs w:val="24"/>
        </w:rPr>
        <w:t>分析結果顯示：一些食品股和台指期保持高度相關，例如統一和黑松；而台鹽則表現出與市場保持獨立的特性。這些相當特性可為投資組合提供有效分散。</w:t>
      </w:r>
    </w:p>
    <w:p w14:paraId="3CF0ED0F" w14:textId="77777777" w:rsidR="00F421CE" w:rsidRDefault="00F421CE" w:rsidP="00F421CE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 xml:space="preserve">2. </w:t>
      </w:r>
      <w:r>
        <w:rPr>
          <w:rFonts w:hint="eastAsia"/>
          <w:b/>
          <w:bCs/>
          <w:noProof/>
          <w:sz w:val="32"/>
          <w:szCs w:val="32"/>
        </w:rPr>
        <w:t>數據與方法</w:t>
      </w:r>
    </w:p>
    <w:p w14:paraId="01C33C42" w14:textId="77777777" w:rsidR="00F421CE" w:rsidRDefault="00F421CE" w:rsidP="00F421CE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 xml:space="preserve">2.1 </w:t>
      </w:r>
      <w:r>
        <w:rPr>
          <w:rFonts w:hint="eastAsia"/>
          <w:b/>
          <w:bCs/>
          <w:noProof/>
          <w:sz w:val="28"/>
          <w:szCs w:val="28"/>
        </w:rPr>
        <w:t>數據選擇</w:t>
      </w:r>
    </w:p>
    <w:p w14:paraId="39EB615B" w14:textId="77777777" w:rsidR="00F421CE" w:rsidRDefault="00F421CE" w:rsidP="00F421CE">
      <w:pPr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數據選擇比對台指期</w:t>
      </w:r>
      <w:r>
        <w:rPr>
          <w:noProof/>
          <w:sz w:val="24"/>
          <w:szCs w:val="24"/>
        </w:rPr>
        <w:t>(TAIEX Futures)</w:t>
      </w:r>
      <w:r>
        <w:rPr>
          <w:rFonts w:hint="eastAsia"/>
          <w:noProof/>
          <w:sz w:val="24"/>
          <w:szCs w:val="24"/>
        </w:rPr>
        <w:t>的原因是台指期作為台灣股市主要指數，能夠正確反映台灣市場全體趨勢。</w:t>
      </w:r>
    </w:p>
    <w:p w14:paraId="1602AE70" w14:textId="77777777" w:rsidR="00F421CE" w:rsidRDefault="00F421CE" w:rsidP="00F421CE">
      <w:pPr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而選擇以下這六家食品公司，是因為以下這六家是在台灣中名氣比較大的食品商。</w:t>
      </w:r>
    </w:p>
    <w:p w14:paraId="7FEAC903" w14:textId="77777777" w:rsidR="00F421CE" w:rsidRDefault="00F421CE" w:rsidP="00F421CE">
      <w:pPr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味全</w:t>
      </w:r>
      <w:r>
        <w:rPr>
          <w:noProof/>
          <w:sz w:val="24"/>
          <w:szCs w:val="24"/>
        </w:rPr>
        <w:t xml:space="preserve"> (1201.TW)</w:t>
      </w:r>
      <w:r>
        <w:rPr>
          <w:rFonts w:hint="eastAsia"/>
          <w:noProof/>
          <w:sz w:val="24"/>
          <w:szCs w:val="24"/>
        </w:rPr>
        <w:t>，統一</w:t>
      </w:r>
      <w:r>
        <w:rPr>
          <w:noProof/>
          <w:sz w:val="24"/>
          <w:szCs w:val="24"/>
        </w:rPr>
        <w:t xml:space="preserve"> (1216.TW)</w:t>
      </w:r>
      <w:r>
        <w:rPr>
          <w:rFonts w:hint="eastAsia"/>
          <w:noProof/>
          <w:sz w:val="24"/>
          <w:szCs w:val="24"/>
        </w:rPr>
        <w:t>，愛之味</w:t>
      </w:r>
      <w:r>
        <w:rPr>
          <w:noProof/>
          <w:sz w:val="24"/>
          <w:szCs w:val="24"/>
        </w:rPr>
        <w:t xml:space="preserve"> (1217.TW)</w:t>
      </w:r>
      <w:r>
        <w:rPr>
          <w:rFonts w:hint="eastAsia"/>
          <w:noProof/>
          <w:sz w:val="24"/>
          <w:szCs w:val="24"/>
        </w:rPr>
        <w:t>，泰山</w:t>
      </w:r>
      <w:r>
        <w:rPr>
          <w:noProof/>
          <w:sz w:val="24"/>
          <w:szCs w:val="24"/>
        </w:rPr>
        <w:t xml:space="preserve"> (1218.TW)</w:t>
      </w:r>
      <w:r>
        <w:rPr>
          <w:rFonts w:hint="eastAsia"/>
          <w:noProof/>
          <w:sz w:val="24"/>
          <w:szCs w:val="24"/>
        </w:rPr>
        <w:t>，黑松</w:t>
      </w:r>
      <w:r>
        <w:rPr>
          <w:noProof/>
          <w:sz w:val="24"/>
          <w:szCs w:val="24"/>
        </w:rPr>
        <w:t xml:space="preserve"> (1234.TW)</w:t>
      </w:r>
      <w:r>
        <w:rPr>
          <w:rFonts w:hint="eastAsia"/>
          <w:noProof/>
          <w:sz w:val="24"/>
          <w:szCs w:val="24"/>
        </w:rPr>
        <w:t>，台鹽</w:t>
      </w:r>
      <w:r>
        <w:rPr>
          <w:noProof/>
          <w:sz w:val="24"/>
          <w:szCs w:val="24"/>
        </w:rPr>
        <w:t xml:space="preserve"> (1737.TW)</w:t>
      </w:r>
    </w:p>
    <w:p w14:paraId="6D2E7F7C" w14:textId="77777777" w:rsidR="00F421CE" w:rsidRDefault="00F421CE" w:rsidP="00F421CE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 xml:space="preserve">2.2 </w:t>
      </w:r>
      <w:r>
        <w:rPr>
          <w:rFonts w:hint="eastAsia"/>
          <w:b/>
          <w:bCs/>
          <w:noProof/>
          <w:sz w:val="28"/>
          <w:szCs w:val="28"/>
        </w:rPr>
        <w:t>數據來源</w:t>
      </w:r>
    </w:p>
    <w:p w14:paraId="2BDD9A94" w14:textId="77777777" w:rsidR="00F421CE" w:rsidRDefault="00F421CE" w:rsidP="00F421CE">
      <w:pPr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數據是從</w:t>
      </w:r>
      <w:r>
        <w:rPr>
          <w:noProof/>
          <w:sz w:val="24"/>
          <w:szCs w:val="24"/>
        </w:rPr>
        <w:t>yahoo finance</w:t>
      </w:r>
      <w:r>
        <w:rPr>
          <w:rFonts w:hint="eastAsia"/>
          <w:noProof/>
          <w:sz w:val="24"/>
          <w:szCs w:val="24"/>
        </w:rPr>
        <w:t>取得食品股和台指期的每日收盤價格。</w:t>
      </w:r>
    </w:p>
    <w:p w14:paraId="6F7FF435" w14:textId="77777777" w:rsidR="00F421CE" w:rsidRDefault="00F421CE" w:rsidP="00F421CE">
      <w:pPr>
        <w:rPr>
          <w:noProof/>
        </w:rPr>
      </w:pPr>
      <w:r>
        <w:rPr>
          <w:rFonts w:hint="eastAsia"/>
          <w:noProof/>
          <w:sz w:val="24"/>
          <w:szCs w:val="24"/>
        </w:rPr>
        <w:t>資料時間為</w:t>
      </w:r>
      <w:r>
        <w:rPr>
          <w:noProof/>
          <w:sz w:val="24"/>
          <w:szCs w:val="24"/>
        </w:rPr>
        <w:t>2020</w:t>
      </w:r>
      <w:r>
        <w:rPr>
          <w:rFonts w:hint="eastAsia"/>
          <w:noProof/>
          <w:sz w:val="24"/>
          <w:szCs w:val="24"/>
        </w:rPr>
        <w:t>年至</w:t>
      </w:r>
      <w:r>
        <w:rPr>
          <w:noProof/>
          <w:sz w:val="24"/>
          <w:szCs w:val="24"/>
        </w:rPr>
        <w:t>2024</w:t>
      </w:r>
      <w:r>
        <w:rPr>
          <w:rFonts w:hint="eastAsia"/>
          <w:noProof/>
          <w:sz w:val="24"/>
          <w:szCs w:val="24"/>
        </w:rPr>
        <w:t>年底，從</w:t>
      </w:r>
      <w:r>
        <w:rPr>
          <w:noProof/>
          <w:sz w:val="24"/>
          <w:szCs w:val="24"/>
        </w:rPr>
        <w:t>2020</w:t>
      </w:r>
      <w:r>
        <w:rPr>
          <w:rFonts w:hint="eastAsia"/>
          <w:noProof/>
          <w:sz w:val="24"/>
          <w:szCs w:val="24"/>
        </w:rPr>
        <w:t>開始是因為</w:t>
      </w:r>
      <w:r>
        <w:rPr>
          <w:noProof/>
          <w:sz w:val="24"/>
          <w:szCs w:val="24"/>
        </w:rPr>
        <w:t>Covid-19</w:t>
      </w:r>
      <w:r>
        <w:rPr>
          <w:rFonts w:hint="eastAsia"/>
          <w:noProof/>
          <w:sz w:val="24"/>
          <w:szCs w:val="24"/>
        </w:rPr>
        <w:t>從這時開始大幅度影響。</w:t>
      </w:r>
    </w:p>
    <w:p w14:paraId="1AC88A4B" w14:textId="77777777" w:rsidR="00F421CE" w:rsidRDefault="00F421CE" w:rsidP="00F421CE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 xml:space="preserve">2.3 </w:t>
      </w:r>
      <w:r>
        <w:rPr>
          <w:rFonts w:hint="eastAsia"/>
          <w:b/>
          <w:bCs/>
          <w:noProof/>
          <w:sz w:val="28"/>
          <w:szCs w:val="28"/>
        </w:rPr>
        <w:t>資料處理</w:t>
      </w:r>
    </w:p>
    <w:p w14:paraId="1A6E2E99" w14:textId="77777777" w:rsidR="00F421CE" w:rsidRDefault="00F421CE" w:rsidP="00F421CE">
      <w:pPr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將資料對</w:t>
      </w:r>
      <w:r>
        <w:rPr>
          <w:noProof/>
          <w:sz w:val="24"/>
          <w:szCs w:val="24"/>
        </w:rPr>
        <w:t xml:space="preserve"> AdjClose </w:t>
      </w:r>
      <w:r>
        <w:rPr>
          <w:rFonts w:hint="eastAsia"/>
          <w:noProof/>
          <w:sz w:val="24"/>
          <w:szCs w:val="24"/>
        </w:rPr>
        <w:t>進行</w:t>
      </w:r>
      <w:r>
        <w:rPr>
          <w:noProof/>
          <w:sz w:val="24"/>
          <w:szCs w:val="24"/>
        </w:rPr>
        <w:t xml:space="preserve"> Min-Max </w:t>
      </w:r>
      <w:r>
        <w:rPr>
          <w:rFonts w:hint="eastAsia"/>
          <w:noProof/>
          <w:sz w:val="24"/>
          <w:szCs w:val="24"/>
        </w:rPr>
        <w:t>正規化處理，讓不同公司間的價格有可比性。</w:t>
      </w:r>
    </w:p>
    <w:p w14:paraId="0FFE64C6" w14:textId="77777777" w:rsidR="00F421CE" w:rsidRDefault="00F421CE" w:rsidP="00F421CE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 xml:space="preserve">2.4 </w:t>
      </w:r>
      <w:r>
        <w:rPr>
          <w:rFonts w:hint="eastAsia"/>
          <w:b/>
          <w:bCs/>
          <w:noProof/>
          <w:sz w:val="28"/>
          <w:szCs w:val="28"/>
        </w:rPr>
        <w:t>相關性計算方法</w:t>
      </w:r>
    </w:p>
    <w:p w14:paraId="2D6CB475" w14:textId="77777777" w:rsidR="00F421CE" w:rsidRDefault="00F421CE" w:rsidP="00F421CE">
      <w:pPr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使用相關係數值，以衡量個股與台指期間的相關穩定性：</w:t>
      </w:r>
      <w:r>
        <w:rPr>
          <w:noProof/>
          <w:sz w:val="24"/>
          <w:szCs w:val="24"/>
        </w:rPr>
        <w:br/>
      </w:r>
      <m:oMathPara>
        <m:oMath>
          <m:r>
            <m:rPr>
              <m:nor/>
            </m:rPr>
            <w:rPr>
              <w:rFonts w:ascii="Cambria Math" w:hAnsi="Cambria Math"/>
              <w:noProof/>
              <w:sz w:val="24"/>
              <w:szCs w:val="24"/>
            </w:rPr>
            <m:t>Correlation</m:t>
          </m:r>
          <m:r>
            <w:rPr>
              <w:rFonts w:ascii="Cambria Math" w:hAnsi="Cambria Math"/>
              <w:noProof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noProof/>
                  <w:sz w:val="24"/>
                  <w:szCs w:val="24"/>
                </w:rPr>
              </m:ctrlPr>
            </m:fPr>
            <m:num>
              <m:r>
                <m:rPr>
                  <m:nor/>
                </m:rPr>
                <w:rPr>
                  <w:rFonts w:ascii="Cambria Math" w:hAnsi="Cambria Math"/>
                  <w:noProof/>
                  <w:sz w:val="24"/>
                  <w:szCs w:val="24"/>
                </w:rPr>
                <m:t>Cov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X,Y</m:t>
                  </m:r>
                </m:e>
              </m:d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σ</m:t>
                  </m:r>
                  <m:ctrlPr>
                    <w:rPr>
                      <w:rFonts w:ascii="Cambria Math" w:hAnsi="Cambria Math"/>
                      <w:noProof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Y</m:t>
                  </m:r>
                </m:sub>
              </m:sSub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den>
          </m:f>
        </m:oMath>
      </m:oMathPara>
    </w:p>
    <w:p w14:paraId="3E53ACA5" w14:textId="77777777" w:rsidR="00F421CE" w:rsidRDefault="00F421CE" w:rsidP="00F421CE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 xml:space="preserve">2.5 </w:t>
      </w:r>
      <w:r>
        <w:rPr>
          <w:rFonts w:hint="eastAsia"/>
          <w:b/>
          <w:bCs/>
          <w:noProof/>
          <w:sz w:val="28"/>
          <w:szCs w:val="28"/>
        </w:rPr>
        <w:t>趨勢圖分析</w:t>
      </w:r>
    </w:p>
    <w:p w14:paraId="2B12FC00" w14:textId="77777777" w:rsidR="00F421CE" w:rsidRDefault="00F421CE" w:rsidP="00F421CE">
      <w:pPr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採用正規化過後的</w:t>
      </w:r>
      <w:r>
        <w:rPr>
          <w:noProof/>
          <w:sz w:val="24"/>
          <w:szCs w:val="24"/>
        </w:rPr>
        <w:t>AdjClose</w:t>
      </w:r>
      <w:r>
        <w:rPr>
          <w:rFonts w:hint="eastAsia"/>
          <w:noProof/>
          <w:sz w:val="24"/>
          <w:szCs w:val="24"/>
        </w:rPr>
        <w:t>的趨勢圖，直覺顯示各食品股和台指期的價格變化。</w:t>
      </w:r>
    </w:p>
    <w:p w14:paraId="125A5F79" w14:textId="77777777" w:rsidR="00F421CE" w:rsidRDefault="00F421CE" w:rsidP="00F421CE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 xml:space="preserve">2.6 </w:t>
      </w:r>
      <w:r>
        <w:rPr>
          <w:rFonts w:hint="eastAsia"/>
          <w:b/>
          <w:bCs/>
          <w:noProof/>
          <w:sz w:val="28"/>
          <w:szCs w:val="28"/>
        </w:rPr>
        <w:t>根據自製回測策略觀察歷史投資結果</w:t>
      </w:r>
    </w:p>
    <w:p w14:paraId="300D65C5" w14:textId="77777777" w:rsidR="00F421CE" w:rsidRDefault="00F421CE" w:rsidP="00F421CE">
      <w:pPr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利用</w:t>
      </w:r>
      <w:r>
        <w:rPr>
          <w:noProof/>
          <w:sz w:val="24"/>
          <w:szCs w:val="24"/>
        </w:rPr>
        <w:t xml:space="preserve"> RSI </w:t>
      </w:r>
      <w:r>
        <w:rPr>
          <w:rFonts w:hint="eastAsia"/>
          <w:noProof/>
          <w:sz w:val="24"/>
          <w:szCs w:val="24"/>
        </w:rPr>
        <w:t>和</w:t>
      </w:r>
      <w:r>
        <w:rPr>
          <w:noProof/>
          <w:sz w:val="24"/>
          <w:szCs w:val="24"/>
        </w:rPr>
        <w:t xml:space="preserve"> MA </w:t>
      </w:r>
      <w:r>
        <w:rPr>
          <w:rFonts w:hint="eastAsia"/>
          <w:noProof/>
          <w:sz w:val="24"/>
          <w:szCs w:val="24"/>
        </w:rPr>
        <w:t>合併成簡易策略，觀察此策略在歷史上的投資是否能夠成功。</w:t>
      </w:r>
    </w:p>
    <w:p w14:paraId="0D0614FB" w14:textId="77777777" w:rsidR="00F421CE" w:rsidRDefault="00F421CE" w:rsidP="00F421CE">
      <w:pPr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買入邏輯：</w:t>
      </w:r>
      <w:r>
        <w:rPr>
          <w:noProof/>
          <w:sz w:val="24"/>
          <w:szCs w:val="24"/>
        </w:rPr>
        <w:t xml:space="preserve">RSI &lt; 30 </w:t>
      </w:r>
      <w:r>
        <w:rPr>
          <w:rFonts w:hint="eastAsia"/>
          <w:noProof/>
          <w:sz w:val="24"/>
          <w:szCs w:val="24"/>
        </w:rPr>
        <w:t>且</w:t>
      </w:r>
      <w:r>
        <w:rPr>
          <w:noProof/>
          <w:sz w:val="24"/>
          <w:szCs w:val="24"/>
        </w:rPr>
        <w:t xml:space="preserve"> MA </w:t>
      </w:r>
      <w:r>
        <w:rPr>
          <w:rFonts w:hint="eastAsia"/>
          <w:noProof/>
          <w:sz w:val="24"/>
          <w:szCs w:val="24"/>
        </w:rPr>
        <w:t>短期上穿長期，賣出邏輯：</w:t>
      </w:r>
      <w:r>
        <w:rPr>
          <w:noProof/>
          <w:sz w:val="24"/>
          <w:szCs w:val="24"/>
        </w:rPr>
        <w:t xml:space="preserve">RSI &gt; 70 </w:t>
      </w:r>
      <w:r>
        <w:rPr>
          <w:rFonts w:hint="eastAsia"/>
          <w:noProof/>
          <w:sz w:val="24"/>
          <w:szCs w:val="24"/>
        </w:rPr>
        <w:t>且</w:t>
      </w:r>
      <w:r>
        <w:rPr>
          <w:noProof/>
          <w:sz w:val="24"/>
          <w:szCs w:val="24"/>
        </w:rPr>
        <w:t xml:space="preserve"> MA </w:t>
      </w:r>
      <w:r>
        <w:rPr>
          <w:rFonts w:hint="eastAsia"/>
          <w:noProof/>
          <w:sz w:val="24"/>
          <w:szCs w:val="24"/>
        </w:rPr>
        <w:t>短期下穿長期。</w:t>
      </w:r>
    </w:p>
    <w:p w14:paraId="3D5F8F91" w14:textId="77777777" w:rsidR="00F421CE" w:rsidRDefault="00F421CE" w:rsidP="00F421CE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 xml:space="preserve">3. </w:t>
      </w:r>
      <w:r>
        <w:rPr>
          <w:rFonts w:hint="eastAsia"/>
          <w:b/>
          <w:bCs/>
          <w:noProof/>
          <w:sz w:val="32"/>
          <w:szCs w:val="32"/>
        </w:rPr>
        <w:t>結果分析</w:t>
      </w:r>
    </w:p>
    <w:p w14:paraId="161371DD" w14:textId="77777777" w:rsidR="00F421CE" w:rsidRDefault="00F421CE" w:rsidP="00F421CE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3.1 Yahoo</w:t>
      </w:r>
      <w:r>
        <w:rPr>
          <w:rFonts w:hint="eastAsia"/>
          <w:b/>
          <w:bCs/>
          <w:noProof/>
          <w:sz w:val="28"/>
          <w:szCs w:val="28"/>
        </w:rPr>
        <w:t>的台灣食品股分類的所有股票與台指期的相關性與趨勢圖</w:t>
      </w:r>
    </w:p>
    <w:p w14:paraId="0303EA01" w14:textId="77777777" w:rsidR="00F421CE" w:rsidRDefault="00F421CE" w:rsidP="00F421C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x</w:t>
      </w:r>
      <w:r>
        <w:rPr>
          <w:rFonts w:hint="eastAsia"/>
          <w:noProof/>
          <w:sz w:val="24"/>
          <w:szCs w:val="24"/>
        </w:rPr>
        <w:t>軸為日期，</w:t>
      </w:r>
      <w:r>
        <w:rPr>
          <w:noProof/>
          <w:sz w:val="24"/>
          <w:szCs w:val="24"/>
        </w:rPr>
        <w:t>y</w:t>
      </w:r>
      <w:r>
        <w:rPr>
          <w:rFonts w:hint="eastAsia"/>
          <w:noProof/>
          <w:sz w:val="24"/>
          <w:szCs w:val="24"/>
        </w:rPr>
        <w:t>軸為經過</w:t>
      </w:r>
      <w:r>
        <w:rPr>
          <w:noProof/>
          <w:sz w:val="24"/>
          <w:szCs w:val="24"/>
        </w:rPr>
        <w:t xml:space="preserve">Min-Max </w:t>
      </w:r>
      <w:r>
        <w:rPr>
          <w:rFonts w:hint="eastAsia"/>
          <w:noProof/>
          <w:sz w:val="24"/>
          <w:szCs w:val="24"/>
        </w:rPr>
        <w:t>正規化後的</w:t>
      </w:r>
      <w:r>
        <w:rPr>
          <w:noProof/>
          <w:sz w:val="24"/>
          <w:szCs w:val="24"/>
        </w:rPr>
        <w:t>AdjClose</w:t>
      </w:r>
    </w:p>
    <w:p w14:paraId="4834DD1D" w14:textId="18E851E2" w:rsidR="00F421CE" w:rsidRDefault="00F421CE" w:rsidP="00F421CE">
      <w:pPr>
        <w:rPr>
          <w:b/>
          <w:bCs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79CA4EF9" wp14:editId="188A9E51">
            <wp:extent cx="5943600" cy="7139940"/>
            <wp:effectExtent l="0" t="0" r="0" b="3810"/>
            <wp:docPr id="474183392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37695" w14:textId="77777777" w:rsidR="00F421CE" w:rsidRDefault="00F421CE" w:rsidP="00F421CE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t xml:space="preserve">3.2 </w:t>
      </w:r>
      <w:r>
        <w:rPr>
          <w:rFonts w:hint="eastAsia"/>
          <w:b/>
          <w:bCs/>
          <w:noProof/>
          <w:sz w:val="28"/>
          <w:szCs w:val="28"/>
        </w:rPr>
        <w:t>重點公司分析</w:t>
      </w:r>
    </w:p>
    <w:p w14:paraId="18B902D4" w14:textId="77777777" w:rsidR="00F421CE" w:rsidRDefault="00F421CE" w:rsidP="00F421CE">
      <w:pPr>
        <w:rPr>
          <w:b/>
          <w:bCs/>
          <w:noProof/>
          <w:sz w:val="24"/>
          <w:szCs w:val="24"/>
        </w:rPr>
      </w:pPr>
      <w:r>
        <w:rPr>
          <w:rFonts w:hint="eastAsia"/>
          <w:b/>
          <w:bCs/>
          <w:noProof/>
          <w:sz w:val="24"/>
          <w:szCs w:val="24"/>
        </w:rPr>
        <w:t>味全</w:t>
      </w:r>
      <w:r>
        <w:rPr>
          <w:b/>
          <w:bCs/>
          <w:noProof/>
          <w:sz w:val="24"/>
          <w:szCs w:val="24"/>
        </w:rPr>
        <w:t xml:space="preserve"> (1201.TW)</w:t>
      </w:r>
    </w:p>
    <w:p w14:paraId="0CAE4A8C" w14:textId="52D86D4A" w:rsidR="00F421CE" w:rsidRDefault="00F421CE" w:rsidP="00F421CE">
      <w:pPr>
        <w:rPr>
          <w:b/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6144A90E" wp14:editId="285B54FE">
            <wp:extent cx="5943600" cy="3322320"/>
            <wp:effectExtent l="0" t="0" r="0" b="0"/>
            <wp:docPr id="858426717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E93EF" w14:textId="77777777" w:rsidR="00F421CE" w:rsidRDefault="00F421CE" w:rsidP="00F421CE">
      <w:pPr>
        <w:numPr>
          <w:ilvl w:val="0"/>
          <w:numId w:val="1"/>
        </w:numPr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相關性：此股與台指期的相關性非常低，幾乎可以視為沒有直接關聯。</w:t>
      </w:r>
    </w:p>
    <w:p w14:paraId="4E2DFEB5" w14:textId="77777777" w:rsidR="00F421CE" w:rsidRDefault="00F421CE" w:rsidP="00F421CE">
      <w:pPr>
        <w:numPr>
          <w:ilvl w:val="0"/>
          <w:numId w:val="1"/>
        </w:numPr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趨勢分析：</w:t>
      </w:r>
      <w:r>
        <w:rPr>
          <w:noProof/>
          <w:sz w:val="24"/>
          <w:szCs w:val="24"/>
        </w:rPr>
        <w:t xml:space="preserve">1201.TW </w:t>
      </w:r>
      <w:r>
        <w:rPr>
          <w:rFonts w:hint="eastAsia"/>
          <w:noProof/>
          <w:sz w:val="24"/>
          <w:szCs w:val="24"/>
        </w:rPr>
        <w:t>的走勢在</w:t>
      </w:r>
      <w:r>
        <w:rPr>
          <w:noProof/>
          <w:sz w:val="24"/>
          <w:szCs w:val="24"/>
        </w:rPr>
        <w:t xml:space="preserve"> 2020 </w:t>
      </w:r>
      <w:r>
        <w:rPr>
          <w:rFonts w:hint="eastAsia"/>
          <w:noProof/>
          <w:sz w:val="24"/>
          <w:szCs w:val="24"/>
        </w:rPr>
        <w:t>年疫情期間出現劇烈下跌，之後恢復波動性上升，但在整體大盤（台指期）</w:t>
      </w:r>
      <w:r>
        <w:rPr>
          <w:noProof/>
          <w:sz w:val="24"/>
          <w:szCs w:val="24"/>
        </w:rPr>
        <w:t xml:space="preserve">2023 </w:t>
      </w:r>
      <w:r>
        <w:rPr>
          <w:rFonts w:hint="eastAsia"/>
          <w:noProof/>
          <w:sz w:val="24"/>
          <w:szCs w:val="24"/>
        </w:rPr>
        <w:t>至</w:t>
      </w:r>
      <w:r>
        <w:rPr>
          <w:noProof/>
          <w:sz w:val="24"/>
          <w:szCs w:val="24"/>
        </w:rPr>
        <w:t xml:space="preserve"> 2024 </w:t>
      </w:r>
      <w:r>
        <w:rPr>
          <w:rFonts w:hint="eastAsia"/>
          <w:noProof/>
          <w:sz w:val="24"/>
          <w:szCs w:val="24"/>
        </w:rPr>
        <w:t>年的持續上漲中，</w:t>
      </w:r>
      <w:r>
        <w:rPr>
          <w:noProof/>
          <w:sz w:val="24"/>
          <w:szCs w:val="24"/>
        </w:rPr>
        <w:t xml:space="preserve">1201.TW </w:t>
      </w:r>
      <w:r>
        <w:rPr>
          <w:rFonts w:hint="eastAsia"/>
          <w:noProof/>
          <w:sz w:val="24"/>
          <w:szCs w:val="24"/>
        </w:rPr>
        <w:t>表現疲弱，並未跟隨大盤趨勢。</w:t>
      </w:r>
    </w:p>
    <w:p w14:paraId="55913926" w14:textId="77777777" w:rsidR="00F421CE" w:rsidRDefault="00F421CE" w:rsidP="00F421CE">
      <w:pPr>
        <w:ind w:left="360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回測結果：</w:t>
      </w:r>
    </w:p>
    <w:p w14:paraId="3F4A4703" w14:textId="5F8F0FF2" w:rsidR="00F421CE" w:rsidRDefault="00F421CE" w:rsidP="00F421CE">
      <w:pPr>
        <w:ind w:left="360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2166F01" wp14:editId="28C66EA2">
            <wp:extent cx="1661160" cy="571500"/>
            <wp:effectExtent l="0" t="0" r="0" b="0"/>
            <wp:docPr id="308666330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16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3209F" w14:textId="77777777" w:rsidR="00F421CE" w:rsidRDefault="00F421CE" w:rsidP="00F421CE">
      <w:pPr>
        <w:ind w:left="360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在利用自製回測的策略中，最終結果是賺</w:t>
      </w:r>
      <w:r>
        <w:rPr>
          <w:noProof/>
          <w:sz w:val="24"/>
          <w:szCs w:val="24"/>
        </w:rPr>
        <w:t>75</w:t>
      </w:r>
      <w:r>
        <w:rPr>
          <w:rFonts w:hint="eastAsia"/>
          <w:noProof/>
          <w:sz w:val="24"/>
          <w:szCs w:val="24"/>
        </w:rPr>
        <w:t>元（收益率</w:t>
      </w:r>
      <w:r>
        <w:rPr>
          <w:noProof/>
          <w:sz w:val="24"/>
          <w:szCs w:val="24"/>
        </w:rPr>
        <w:t xml:space="preserve"> +0.075%</w:t>
      </w:r>
      <w:r>
        <w:rPr>
          <w:rFonts w:hint="eastAsia"/>
          <w:noProof/>
          <w:sz w:val="24"/>
          <w:szCs w:val="24"/>
        </w:rPr>
        <w:t>）。</w:t>
      </w:r>
      <w:r>
        <w:rPr>
          <w:rFonts w:hint="eastAsia"/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br w:type="page"/>
      </w:r>
    </w:p>
    <w:p w14:paraId="6A574821" w14:textId="77777777" w:rsidR="00F421CE" w:rsidRDefault="00F421CE" w:rsidP="00F421CE">
      <w:pPr>
        <w:rPr>
          <w:b/>
          <w:bCs/>
          <w:noProof/>
          <w:sz w:val="24"/>
          <w:szCs w:val="24"/>
        </w:rPr>
      </w:pPr>
      <w:r>
        <w:rPr>
          <w:rFonts w:hint="eastAsia"/>
          <w:b/>
          <w:bCs/>
          <w:noProof/>
          <w:sz w:val="24"/>
          <w:szCs w:val="24"/>
        </w:rPr>
        <w:lastRenderedPageBreak/>
        <w:t>統一</w:t>
      </w:r>
      <w:r>
        <w:rPr>
          <w:b/>
          <w:bCs/>
          <w:noProof/>
          <w:sz w:val="24"/>
          <w:szCs w:val="24"/>
        </w:rPr>
        <w:t xml:space="preserve"> (1216.TW)</w:t>
      </w:r>
    </w:p>
    <w:p w14:paraId="3177080F" w14:textId="4C6FD94F" w:rsidR="00F421CE" w:rsidRDefault="00F421CE" w:rsidP="00F421CE">
      <w:pPr>
        <w:rPr>
          <w:b/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1AD48F0" wp14:editId="496540B2">
            <wp:extent cx="5943600" cy="3322320"/>
            <wp:effectExtent l="0" t="0" r="0" b="0"/>
            <wp:docPr id="1608040833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CFAC5" w14:textId="77777777" w:rsidR="00F421CE" w:rsidRDefault="00F421CE" w:rsidP="00F421CE">
      <w:pPr>
        <w:numPr>
          <w:ilvl w:val="0"/>
          <w:numId w:val="2"/>
        </w:numPr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相關性：此股與台指期呈現高度正相關。</w:t>
      </w:r>
    </w:p>
    <w:p w14:paraId="5BAD30CE" w14:textId="77777777" w:rsidR="00F421CE" w:rsidRDefault="00F421CE" w:rsidP="00F421CE">
      <w:pPr>
        <w:numPr>
          <w:ilvl w:val="0"/>
          <w:numId w:val="2"/>
        </w:numPr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趨勢分析：從圖中可以明顯看出，</w:t>
      </w:r>
      <w:r>
        <w:rPr>
          <w:noProof/>
          <w:sz w:val="24"/>
          <w:szCs w:val="24"/>
        </w:rPr>
        <w:t xml:space="preserve">1216.TW </w:t>
      </w:r>
      <w:r>
        <w:rPr>
          <w:rFonts w:hint="eastAsia"/>
          <w:noProof/>
          <w:sz w:val="24"/>
          <w:szCs w:val="24"/>
        </w:rPr>
        <w:t>的趨勢大致與台指期一致，疫情後穩定上漲，並且在</w:t>
      </w:r>
      <w:r>
        <w:rPr>
          <w:noProof/>
          <w:sz w:val="24"/>
          <w:szCs w:val="24"/>
        </w:rPr>
        <w:t xml:space="preserve"> 2023 </w:t>
      </w:r>
      <w:r>
        <w:rPr>
          <w:rFonts w:hint="eastAsia"/>
          <w:noProof/>
          <w:sz w:val="24"/>
          <w:szCs w:val="24"/>
        </w:rPr>
        <w:t>至</w:t>
      </w:r>
      <w:r>
        <w:rPr>
          <w:noProof/>
          <w:sz w:val="24"/>
          <w:szCs w:val="24"/>
        </w:rPr>
        <w:t xml:space="preserve"> 2024 </w:t>
      </w:r>
      <w:r>
        <w:rPr>
          <w:rFonts w:hint="eastAsia"/>
          <w:noProof/>
          <w:sz w:val="24"/>
          <w:szCs w:val="24"/>
        </w:rPr>
        <w:t>年大盤快速上漲期間有同步的強勁增長。</w:t>
      </w:r>
    </w:p>
    <w:p w14:paraId="1E36357D" w14:textId="77777777" w:rsidR="00F421CE" w:rsidRDefault="00F421CE" w:rsidP="00F421CE">
      <w:pPr>
        <w:ind w:left="360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回測結果：</w:t>
      </w:r>
    </w:p>
    <w:p w14:paraId="20AED068" w14:textId="5CCD922D" w:rsidR="00F421CE" w:rsidRDefault="00F421CE" w:rsidP="00F421CE">
      <w:pPr>
        <w:ind w:left="360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FD3F547" wp14:editId="4DD0C2CA">
            <wp:extent cx="1600200" cy="601980"/>
            <wp:effectExtent l="0" t="0" r="0" b="7620"/>
            <wp:docPr id="503495846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DF102" w14:textId="77777777" w:rsidR="00F421CE" w:rsidRDefault="00F421CE" w:rsidP="00F421CE">
      <w:pPr>
        <w:ind w:left="360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在利用自製回測的策略中，最終結果是賺</w:t>
      </w:r>
      <w:r>
        <w:rPr>
          <w:noProof/>
          <w:sz w:val="24"/>
          <w:szCs w:val="24"/>
        </w:rPr>
        <w:t>560</w:t>
      </w:r>
      <w:r>
        <w:rPr>
          <w:rFonts w:hint="eastAsia"/>
          <w:noProof/>
          <w:sz w:val="24"/>
          <w:szCs w:val="24"/>
        </w:rPr>
        <w:t>元（收益率</w:t>
      </w:r>
      <w:r>
        <w:rPr>
          <w:noProof/>
          <w:sz w:val="24"/>
          <w:szCs w:val="24"/>
        </w:rPr>
        <w:t xml:space="preserve"> +0.56%</w:t>
      </w:r>
      <w:r>
        <w:rPr>
          <w:rFonts w:hint="eastAsia"/>
          <w:noProof/>
          <w:sz w:val="24"/>
          <w:szCs w:val="24"/>
        </w:rPr>
        <w:t>）。</w:t>
      </w:r>
    </w:p>
    <w:p w14:paraId="1393C1A8" w14:textId="77777777" w:rsidR="00F421CE" w:rsidRDefault="00F421CE" w:rsidP="00F421CE">
      <w:pPr>
        <w:rPr>
          <w:noProof/>
          <w:sz w:val="24"/>
          <w:szCs w:val="24"/>
        </w:rPr>
      </w:pPr>
      <w:r>
        <w:rPr>
          <w:noProof/>
          <w:kern w:val="0"/>
          <w:sz w:val="24"/>
          <w:szCs w:val="24"/>
          <w14:ligatures w14:val="none"/>
        </w:rPr>
        <w:br w:type="page"/>
      </w:r>
    </w:p>
    <w:p w14:paraId="2678FB1C" w14:textId="77777777" w:rsidR="00F421CE" w:rsidRDefault="00F421CE" w:rsidP="00F421CE">
      <w:pPr>
        <w:rPr>
          <w:b/>
          <w:bCs/>
          <w:noProof/>
          <w:sz w:val="24"/>
          <w:szCs w:val="24"/>
        </w:rPr>
      </w:pPr>
      <w:r>
        <w:rPr>
          <w:rFonts w:hint="eastAsia"/>
          <w:b/>
          <w:bCs/>
          <w:noProof/>
          <w:sz w:val="24"/>
          <w:szCs w:val="24"/>
        </w:rPr>
        <w:lastRenderedPageBreak/>
        <w:t>愛之味</w:t>
      </w:r>
      <w:r>
        <w:rPr>
          <w:b/>
          <w:bCs/>
          <w:noProof/>
          <w:sz w:val="24"/>
          <w:szCs w:val="24"/>
        </w:rPr>
        <w:t xml:space="preserve"> (1217.TW)</w:t>
      </w:r>
    </w:p>
    <w:p w14:paraId="0A463A0A" w14:textId="1A809656" w:rsidR="00F421CE" w:rsidRDefault="00F421CE" w:rsidP="00F421CE">
      <w:pPr>
        <w:rPr>
          <w:b/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17599AF" wp14:editId="1AC1DE79">
            <wp:extent cx="5943600" cy="3322320"/>
            <wp:effectExtent l="0" t="0" r="0" b="0"/>
            <wp:docPr id="361904161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D5571" w14:textId="77777777" w:rsidR="00F421CE" w:rsidRDefault="00F421CE" w:rsidP="00F421CE">
      <w:pPr>
        <w:numPr>
          <w:ilvl w:val="0"/>
          <w:numId w:val="3"/>
        </w:numPr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相關性：與台指期呈現高度正相關。</w:t>
      </w:r>
    </w:p>
    <w:p w14:paraId="3D33B8A7" w14:textId="77777777" w:rsidR="00F421CE" w:rsidRDefault="00F421CE" w:rsidP="00F421CE">
      <w:pPr>
        <w:numPr>
          <w:ilvl w:val="0"/>
          <w:numId w:val="3"/>
        </w:numPr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趨勢分析：與</w:t>
      </w:r>
      <w:r>
        <w:rPr>
          <w:noProof/>
          <w:sz w:val="24"/>
          <w:szCs w:val="24"/>
        </w:rPr>
        <w:t xml:space="preserve"> 1216.TW </w:t>
      </w:r>
      <w:r>
        <w:rPr>
          <w:rFonts w:hint="eastAsia"/>
          <w:noProof/>
          <w:sz w:val="24"/>
          <w:szCs w:val="24"/>
        </w:rPr>
        <w:t>相似，</w:t>
      </w:r>
      <w:r>
        <w:rPr>
          <w:noProof/>
          <w:sz w:val="24"/>
          <w:szCs w:val="24"/>
        </w:rPr>
        <w:t xml:space="preserve">1217.TW </w:t>
      </w:r>
      <w:r>
        <w:rPr>
          <w:rFonts w:hint="eastAsia"/>
          <w:noProof/>
          <w:sz w:val="24"/>
          <w:szCs w:val="24"/>
        </w:rPr>
        <w:t>的趨勢大部分時候跟隨台指期，特別是在疫情後的恢復期和</w:t>
      </w:r>
      <w:r>
        <w:rPr>
          <w:noProof/>
          <w:sz w:val="24"/>
          <w:szCs w:val="24"/>
        </w:rPr>
        <w:t xml:space="preserve"> 2023-2024 </w:t>
      </w:r>
      <w:r>
        <w:rPr>
          <w:rFonts w:hint="eastAsia"/>
          <w:noProof/>
          <w:sz w:val="24"/>
          <w:szCs w:val="24"/>
        </w:rPr>
        <w:t>年的強勁增長期，均顯示與大盤同步的特性，但某些局部波動略微偏離。</w:t>
      </w:r>
    </w:p>
    <w:p w14:paraId="043FA807" w14:textId="77777777" w:rsidR="00F421CE" w:rsidRDefault="00F421CE" w:rsidP="00F421CE">
      <w:pPr>
        <w:ind w:left="360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回測結果：</w:t>
      </w:r>
    </w:p>
    <w:p w14:paraId="191DC15A" w14:textId="7FD22D44" w:rsidR="00F421CE" w:rsidRDefault="00F421CE" w:rsidP="00F421CE">
      <w:pPr>
        <w:ind w:left="360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7958FD7" wp14:editId="324E45A2">
            <wp:extent cx="1600200" cy="556260"/>
            <wp:effectExtent l="0" t="0" r="0" b="0"/>
            <wp:docPr id="327835222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F6500" w14:textId="77777777" w:rsidR="00F421CE" w:rsidRDefault="00F421CE" w:rsidP="00F421CE">
      <w:pPr>
        <w:ind w:left="360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在利用自製回測的策略中，最終結果是賺</w:t>
      </w:r>
      <w:r>
        <w:rPr>
          <w:noProof/>
          <w:sz w:val="24"/>
          <w:szCs w:val="24"/>
        </w:rPr>
        <w:t>15</w:t>
      </w:r>
      <w:r>
        <w:rPr>
          <w:rFonts w:hint="eastAsia"/>
          <w:noProof/>
          <w:sz w:val="24"/>
          <w:szCs w:val="24"/>
        </w:rPr>
        <w:t>元（收益率</w:t>
      </w:r>
      <w:r>
        <w:rPr>
          <w:noProof/>
          <w:sz w:val="24"/>
          <w:szCs w:val="24"/>
        </w:rPr>
        <w:t xml:space="preserve"> +0.015%</w:t>
      </w:r>
      <w:r>
        <w:rPr>
          <w:rFonts w:hint="eastAsia"/>
          <w:noProof/>
          <w:sz w:val="24"/>
          <w:szCs w:val="24"/>
        </w:rPr>
        <w:t>）。</w:t>
      </w:r>
    </w:p>
    <w:p w14:paraId="09227989" w14:textId="77777777" w:rsidR="00F421CE" w:rsidRDefault="00F421CE" w:rsidP="00F421CE">
      <w:pPr>
        <w:rPr>
          <w:noProof/>
          <w:sz w:val="24"/>
          <w:szCs w:val="24"/>
        </w:rPr>
      </w:pPr>
      <w:r>
        <w:rPr>
          <w:noProof/>
          <w:kern w:val="0"/>
          <w:sz w:val="24"/>
          <w:szCs w:val="24"/>
          <w14:ligatures w14:val="none"/>
        </w:rPr>
        <w:br w:type="page"/>
      </w:r>
    </w:p>
    <w:p w14:paraId="0A9D29A8" w14:textId="77777777" w:rsidR="00F421CE" w:rsidRDefault="00F421CE" w:rsidP="00F421CE">
      <w:pPr>
        <w:rPr>
          <w:b/>
          <w:bCs/>
          <w:noProof/>
          <w:sz w:val="24"/>
          <w:szCs w:val="24"/>
        </w:rPr>
      </w:pPr>
      <w:r>
        <w:rPr>
          <w:rFonts w:hint="eastAsia"/>
          <w:b/>
          <w:bCs/>
          <w:noProof/>
          <w:sz w:val="24"/>
          <w:szCs w:val="24"/>
        </w:rPr>
        <w:lastRenderedPageBreak/>
        <w:t>泰山</w:t>
      </w:r>
      <w:r>
        <w:rPr>
          <w:b/>
          <w:bCs/>
          <w:noProof/>
          <w:sz w:val="24"/>
          <w:szCs w:val="24"/>
        </w:rPr>
        <w:t xml:space="preserve"> (1218.TW)</w:t>
      </w:r>
    </w:p>
    <w:p w14:paraId="4A53BDF0" w14:textId="451892D7" w:rsidR="00F421CE" w:rsidRDefault="00F421CE" w:rsidP="00F421CE">
      <w:pPr>
        <w:rPr>
          <w:b/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FBBE699" wp14:editId="78CF55B9">
            <wp:extent cx="5943600" cy="3322320"/>
            <wp:effectExtent l="0" t="0" r="0" b="0"/>
            <wp:docPr id="67796107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A8AF7" w14:textId="77777777" w:rsidR="00F421CE" w:rsidRDefault="00F421CE" w:rsidP="00F421CE">
      <w:pPr>
        <w:numPr>
          <w:ilvl w:val="0"/>
          <w:numId w:val="4"/>
        </w:numPr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相關性：與台指期呈現弱負相關性，價格走勢與台指期並不一致，且有輕微的反向變化。</w:t>
      </w:r>
    </w:p>
    <w:p w14:paraId="6EA1D2FC" w14:textId="77777777" w:rsidR="00F421CE" w:rsidRDefault="00F421CE" w:rsidP="00F421CE">
      <w:pPr>
        <w:numPr>
          <w:ilvl w:val="0"/>
          <w:numId w:val="4"/>
        </w:numPr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趨勢分析：股票價格的波動性較大，特別是在</w:t>
      </w:r>
      <w:r>
        <w:rPr>
          <w:noProof/>
          <w:sz w:val="24"/>
          <w:szCs w:val="24"/>
        </w:rPr>
        <w:t>2022</w:t>
      </w:r>
      <w:r>
        <w:rPr>
          <w:rFonts w:hint="eastAsia"/>
          <w:noProof/>
          <w:sz w:val="24"/>
          <w:szCs w:val="24"/>
        </w:rPr>
        <w:t>年有一個明顯的高峰，但之後價格大幅回落。整體走勢顯示波動劇烈，且與台指期的趨勢脫鉤。</w:t>
      </w:r>
    </w:p>
    <w:p w14:paraId="512802A9" w14:textId="77777777" w:rsidR="00F421CE" w:rsidRDefault="00F421CE" w:rsidP="00F421CE">
      <w:pPr>
        <w:ind w:left="360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回測結果：</w:t>
      </w:r>
    </w:p>
    <w:p w14:paraId="06FAE3A4" w14:textId="53D73195" w:rsidR="00F421CE" w:rsidRDefault="00F421CE" w:rsidP="00F421CE">
      <w:pPr>
        <w:ind w:left="360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68A6977" wp14:editId="1149B5FC">
            <wp:extent cx="1623060" cy="609600"/>
            <wp:effectExtent l="0" t="0" r="0" b="0"/>
            <wp:docPr id="1161277138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6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BC0AD" w14:textId="77777777" w:rsidR="00F421CE" w:rsidRDefault="00F421CE" w:rsidP="00F421CE">
      <w:pPr>
        <w:ind w:left="360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在利用自製回測的策略中，最終結果是賠</w:t>
      </w:r>
      <w:r>
        <w:rPr>
          <w:noProof/>
          <w:sz w:val="24"/>
          <w:szCs w:val="24"/>
        </w:rPr>
        <w:t>100</w:t>
      </w:r>
      <w:r>
        <w:rPr>
          <w:rFonts w:hint="eastAsia"/>
          <w:noProof/>
          <w:sz w:val="24"/>
          <w:szCs w:val="24"/>
        </w:rPr>
        <w:t>元（收益率</w:t>
      </w:r>
      <w:r>
        <w:rPr>
          <w:noProof/>
          <w:sz w:val="24"/>
          <w:szCs w:val="24"/>
        </w:rPr>
        <w:t xml:space="preserve"> -0.1%</w:t>
      </w:r>
      <w:r>
        <w:rPr>
          <w:rFonts w:hint="eastAsia"/>
          <w:noProof/>
          <w:sz w:val="24"/>
          <w:szCs w:val="24"/>
        </w:rPr>
        <w:t>）。</w:t>
      </w:r>
    </w:p>
    <w:p w14:paraId="121B8C3C" w14:textId="77777777" w:rsidR="00F421CE" w:rsidRDefault="00F421CE" w:rsidP="00F421CE">
      <w:pPr>
        <w:rPr>
          <w:noProof/>
          <w:sz w:val="24"/>
          <w:szCs w:val="24"/>
        </w:rPr>
      </w:pPr>
      <w:r>
        <w:rPr>
          <w:noProof/>
          <w:kern w:val="0"/>
          <w:sz w:val="24"/>
          <w:szCs w:val="24"/>
          <w14:ligatures w14:val="none"/>
        </w:rPr>
        <w:br w:type="page"/>
      </w:r>
    </w:p>
    <w:p w14:paraId="45DF960A" w14:textId="77777777" w:rsidR="00F421CE" w:rsidRDefault="00F421CE" w:rsidP="00F421CE">
      <w:pPr>
        <w:rPr>
          <w:b/>
          <w:bCs/>
          <w:noProof/>
          <w:sz w:val="24"/>
          <w:szCs w:val="24"/>
        </w:rPr>
      </w:pPr>
      <w:r>
        <w:rPr>
          <w:rFonts w:hint="eastAsia"/>
          <w:b/>
          <w:bCs/>
          <w:noProof/>
          <w:sz w:val="24"/>
          <w:szCs w:val="24"/>
        </w:rPr>
        <w:lastRenderedPageBreak/>
        <w:t>黑松</w:t>
      </w:r>
      <w:r>
        <w:rPr>
          <w:b/>
          <w:bCs/>
          <w:noProof/>
          <w:sz w:val="24"/>
          <w:szCs w:val="24"/>
        </w:rPr>
        <w:t xml:space="preserve"> (1234.TW)</w:t>
      </w:r>
    </w:p>
    <w:p w14:paraId="2D8BD8F9" w14:textId="0769960F" w:rsidR="00F421CE" w:rsidRDefault="00F421CE" w:rsidP="00F421CE">
      <w:pPr>
        <w:rPr>
          <w:b/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6FCCF59" wp14:editId="51AD7B8C">
            <wp:extent cx="5943600" cy="3322320"/>
            <wp:effectExtent l="0" t="0" r="0" b="0"/>
            <wp:docPr id="109733206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F8C0A" w14:textId="77777777" w:rsidR="00F421CE" w:rsidRDefault="00F421CE" w:rsidP="00F421CE">
      <w:pPr>
        <w:numPr>
          <w:ilvl w:val="0"/>
          <w:numId w:val="5"/>
        </w:numPr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相關性：與台指期有很強的正相關性。</w:t>
      </w:r>
    </w:p>
    <w:p w14:paraId="147C55B2" w14:textId="77777777" w:rsidR="00F421CE" w:rsidRDefault="00F421CE" w:rsidP="00F421CE">
      <w:pPr>
        <w:numPr>
          <w:ilvl w:val="0"/>
          <w:numId w:val="5"/>
        </w:numPr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趨勢分析：</w:t>
      </w:r>
      <w:r>
        <w:rPr>
          <w:noProof/>
          <w:sz w:val="24"/>
          <w:szCs w:val="24"/>
        </w:rPr>
        <w:t>2020</w:t>
      </w:r>
      <w:r>
        <w:rPr>
          <w:rFonts w:hint="eastAsia"/>
          <w:noProof/>
          <w:sz w:val="24"/>
          <w:szCs w:val="24"/>
        </w:rPr>
        <w:t>年以來，股票價格與台指期呈現高度一致的正向增長趨勢。近期價格在高位穩定波動，與台指期依然保持緊密的聯動。</w:t>
      </w:r>
    </w:p>
    <w:p w14:paraId="00F03D06" w14:textId="77777777" w:rsidR="00F421CE" w:rsidRDefault="00F421CE" w:rsidP="00F421CE">
      <w:pPr>
        <w:ind w:left="360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回測結果：</w:t>
      </w:r>
    </w:p>
    <w:p w14:paraId="1B61BADE" w14:textId="560E5DEC" w:rsidR="00F421CE" w:rsidRDefault="00F421CE" w:rsidP="00F421CE">
      <w:pPr>
        <w:ind w:left="360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BAB705B" wp14:editId="2E322DA8">
            <wp:extent cx="1676400" cy="571500"/>
            <wp:effectExtent l="0" t="0" r="0" b="0"/>
            <wp:docPr id="896138105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A8628" w14:textId="77777777" w:rsidR="00F421CE" w:rsidRDefault="00F421CE" w:rsidP="00F421CE">
      <w:pPr>
        <w:ind w:left="360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在利用自製回測的策略中，最終結果是賺</w:t>
      </w:r>
      <w:r>
        <w:rPr>
          <w:noProof/>
          <w:sz w:val="24"/>
          <w:szCs w:val="24"/>
        </w:rPr>
        <w:t>500</w:t>
      </w:r>
      <w:r>
        <w:rPr>
          <w:rFonts w:hint="eastAsia"/>
          <w:noProof/>
          <w:sz w:val="24"/>
          <w:szCs w:val="24"/>
        </w:rPr>
        <w:t>元（收益率</w:t>
      </w:r>
      <w:r>
        <w:rPr>
          <w:noProof/>
          <w:sz w:val="24"/>
          <w:szCs w:val="24"/>
        </w:rPr>
        <w:t xml:space="preserve"> +0.5%</w:t>
      </w:r>
      <w:r>
        <w:rPr>
          <w:rFonts w:hint="eastAsia"/>
          <w:noProof/>
          <w:sz w:val="24"/>
          <w:szCs w:val="24"/>
        </w:rPr>
        <w:t>）。</w:t>
      </w:r>
    </w:p>
    <w:p w14:paraId="390971A7" w14:textId="77777777" w:rsidR="00F421CE" w:rsidRDefault="00F421CE" w:rsidP="00F421CE">
      <w:pPr>
        <w:rPr>
          <w:noProof/>
          <w:sz w:val="24"/>
          <w:szCs w:val="24"/>
        </w:rPr>
      </w:pPr>
    </w:p>
    <w:p w14:paraId="3A59EFF1" w14:textId="77777777" w:rsidR="00F421CE" w:rsidRDefault="00F421CE" w:rsidP="00F421CE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kern w:val="0"/>
          <w:sz w:val="24"/>
          <w:szCs w:val="24"/>
          <w14:ligatures w14:val="none"/>
        </w:rPr>
        <w:br w:type="page"/>
      </w:r>
    </w:p>
    <w:p w14:paraId="2756D1A9" w14:textId="77777777" w:rsidR="00F421CE" w:rsidRDefault="00F421CE" w:rsidP="00F421CE">
      <w:pPr>
        <w:rPr>
          <w:b/>
          <w:bCs/>
          <w:noProof/>
          <w:sz w:val="24"/>
          <w:szCs w:val="24"/>
        </w:rPr>
      </w:pPr>
      <w:r>
        <w:rPr>
          <w:rFonts w:hint="eastAsia"/>
          <w:b/>
          <w:bCs/>
          <w:noProof/>
          <w:sz w:val="24"/>
          <w:szCs w:val="24"/>
        </w:rPr>
        <w:lastRenderedPageBreak/>
        <w:t>台鹽</w:t>
      </w:r>
      <w:r>
        <w:rPr>
          <w:b/>
          <w:bCs/>
          <w:noProof/>
          <w:sz w:val="24"/>
          <w:szCs w:val="24"/>
        </w:rPr>
        <w:t xml:space="preserve"> (1737.TW)</w:t>
      </w:r>
    </w:p>
    <w:p w14:paraId="48B60375" w14:textId="50B2B99B" w:rsidR="00F421CE" w:rsidRDefault="00F421CE" w:rsidP="00F421CE">
      <w:pPr>
        <w:rPr>
          <w:b/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2B0249E5" wp14:editId="2A4FC12E">
            <wp:extent cx="5943600" cy="3322320"/>
            <wp:effectExtent l="0" t="0" r="0" b="0"/>
            <wp:docPr id="1045213630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F68CA" w14:textId="77777777" w:rsidR="00F421CE" w:rsidRDefault="00F421CE" w:rsidP="00F421CE">
      <w:pPr>
        <w:numPr>
          <w:ilvl w:val="0"/>
          <w:numId w:val="5"/>
        </w:numPr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相關性：與台指期有很強的正相關性。</w:t>
      </w:r>
    </w:p>
    <w:p w14:paraId="2953B339" w14:textId="77777777" w:rsidR="00F421CE" w:rsidRDefault="00F421CE" w:rsidP="00F421CE">
      <w:pPr>
        <w:numPr>
          <w:ilvl w:val="0"/>
          <w:numId w:val="6"/>
        </w:numPr>
        <w:rPr>
          <w:noProof/>
        </w:rPr>
      </w:pPr>
      <w:r>
        <w:rPr>
          <w:rFonts w:hint="eastAsia"/>
          <w:noProof/>
          <w:sz w:val="24"/>
          <w:szCs w:val="24"/>
        </w:rPr>
        <w:t>趨勢分析：股票價格與台指期的走勢基本一致，但在某些區段存在輕微的分歧。</w:t>
      </w:r>
      <w:r>
        <w:rPr>
          <w:noProof/>
          <w:sz w:val="24"/>
          <w:szCs w:val="24"/>
        </w:rPr>
        <w:t>2023</w:t>
      </w:r>
      <w:r>
        <w:rPr>
          <w:rFonts w:hint="eastAsia"/>
          <w:noProof/>
          <w:sz w:val="24"/>
          <w:szCs w:val="24"/>
        </w:rPr>
        <w:t>年後，該股票的價格增長趨勢有所放緩，但仍大致跟隨台指期的波動。</w:t>
      </w:r>
    </w:p>
    <w:p w14:paraId="0B0F6122" w14:textId="77777777" w:rsidR="00F421CE" w:rsidRDefault="00F421CE" w:rsidP="00F421CE">
      <w:pPr>
        <w:ind w:left="360"/>
        <w:rPr>
          <w:noProof/>
        </w:rPr>
      </w:pPr>
      <w:r>
        <w:rPr>
          <w:rFonts w:hint="eastAsia"/>
          <w:noProof/>
          <w:sz w:val="24"/>
          <w:szCs w:val="24"/>
        </w:rPr>
        <w:t>回測結果：</w:t>
      </w:r>
    </w:p>
    <w:p w14:paraId="680E1D81" w14:textId="3443180B" w:rsidR="00F421CE" w:rsidRDefault="00F421CE" w:rsidP="00F421CE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11D9B355" wp14:editId="35CDD3CC">
            <wp:extent cx="1607820" cy="601980"/>
            <wp:effectExtent l="0" t="0" r="0" b="7620"/>
            <wp:docPr id="1115218296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82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EDAFF" w14:textId="77777777" w:rsidR="00F421CE" w:rsidRDefault="00F421CE" w:rsidP="00F421CE">
      <w:pPr>
        <w:ind w:left="360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在利用自製回測的策略中，最終結果是賺</w:t>
      </w:r>
      <w:r>
        <w:rPr>
          <w:noProof/>
          <w:sz w:val="24"/>
          <w:szCs w:val="24"/>
        </w:rPr>
        <w:t>75</w:t>
      </w:r>
      <w:r>
        <w:rPr>
          <w:rFonts w:hint="eastAsia"/>
          <w:noProof/>
          <w:sz w:val="24"/>
          <w:szCs w:val="24"/>
        </w:rPr>
        <w:t>元（收益率</w:t>
      </w:r>
      <w:r>
        <w:rPr>
          <w:noProof/>
          <w:sz w:val="24"/>
          <w:szCs w:val="24"/>
        </w:rPr>
        <w:t xml:space="preserve"> +0.075%</w:t>
      </w:r>
      <w:r>
        <w:rPr>
          <w:rFonts w:hint="eastAsia"/>
          <w:noProof/>
          <w:sz w:val="24"/>
          <w:szCs w:val="24"/>
        </w:rPr>
        <w:t>）。</w:t>
      </w:r>
    </w:p>
    <w:p w14:paraId="03742927" w14:textId="77777777" w:rsidR="00F421CE" w:rsidRDefault="00F421CE" w:rsidP="00F421CE">
      <w:pPr>
        <w:rPr>
          <w:noProof/>
        </w:rPr>
      </w:pPr>
      <w:r>
        <w:rPr>
          <w:noProof/>
          <w:kern w:val="0"/>
          <w14:ligatures w14:val="none"/>
        </w:rPr>
        <w:br w:type="page"/>
      </w:r>
    </w:p>
    <w:p w14:paraId="1A5B7FB5" w14:textId="77777777" w:rsidR="00F421CE" w:rsidRDefault="00F421CE" w:rsidP="00F421CE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t xml:space="preserve">3.3 </w:t>
      </w:r>
      <w:r>
        <w:rPr>
          <w:rFonts w:hint="eastAsia"/>
          <w:b/>
          <w:bCs/>
          <w:noProof/>
          <w:sz w:val="28"/>
          <w:szCs w:val="28"/>
        </w:rPr>
        <w:t>回測策略分析</w:t>
      </w:r>
    </w:p>
    <w:p w14:paraId="433F0D1E" w14:textId="77777777" w:rsidR="00F421CE" w:rsidRDefault="00F421CE" w:rsidP="00F421CE">
      <w:pPr>
        <w:rPr>
          <w:noProof/>
        </w:rPr>
      </w:pPr>
      <w:r>
        <w:rPr>
          <w:rFonts w:hint="eastAsia"/>
          <w:b/>
          <w:bCs/>
          <w:noProof/>
        </w:rPr>
        <w:t>整體績效表現</w:t>
      </w:r>
      <w:r>
        <w:rPr>
          <w:rFonts w:hint="eastAsia"/>
          <w:noProof/>
        </w:rPr>
        <w:t>：</w:t>
      </w:r>
    </w:p>
    <w:p w14:paraId="64E7019B" w14:textId="77777777" w:rsidR="00F421CE" w:rsidRDefault="00F421CE" w:rsidP="00F421CE">
      <w:pPr>
        <w:rPr>
          <w:noProof/>
        </w:rPr>
      </w:pPr>
      <w:r>
        <w:rPr>
          <w:rFonts w:hint="eastAsia"/>
          <w:noProof/>
        </w:rPr>
        <w:t>回測結果顯示該策略在這些股票上的收益率普遍較低，整體增長有限。</w:t>
      </w:r>
    </w:p>
    <w:p w14:paraId="0D359531" w14:textId="77777777" w:rsidR="00F421CE" w:rsidRDefault="00F421CE" w:rsidP="00F421CE">
      <w:pPr>
        <w:rPr>
          <w:noProof/>
        </w:rPr>
      </w:pPr>
      <w:r>
        <w:rPr>
          <w:rFonts w:hint="eastAsia"/>
          <w:noProof/>
        </w:rPr>
        <w:t>唯一出現虧損的股票是</w:t>
      </w:r>
      <w:r>
        <w:rPr>
          <w:rFonts w:hint="eastAsia"/>
          <w:noProof/>
        </w:rPr>
        <w:t xml:space="preserve"> </w:t>
      </w:r>
      <w:r>
        <w:rPr>
          <w:b/>
          <w:bCs/>
          <w:noProof/>
        </w:rPr>
        <w:t>1218.TW</w:t>
      </w:r>
      <w:r>
        <w:rPr>
          <w:rFonts w:hint="eastAsia"/>
          <w:noProof/>
        </w:rPr>
        <w:t>，資金減少</w:t>
      </w:r>
      <w:r>
        <w:rPr>
          <w:noProof/>
        </w:rPr>
        <w:t xml:space="preserve"> $100</w:t>
      </w:r>
      <w:r>
        <w:rPr>
          <w:rFonts w:hint="eastAsia"/>
          <w:noProof/>
        </w:rPr>
        <w:t>。</w:t>
      </w:r>
    </w:p>
    <w:p w14:paraId="5BA93245" w14:textId="77777777" w:rsidR="00F421CE" w:rsidRDefault="00F421CE" w:rsidP="00F421CE">
      <w:pPr>
        <w:rPr>
          <w:noProof/>
        </w:rPr>
      </w:pPr>
      <w:r>
        <w:rPr>
          <w:rFonts w:hint="eastAsia"/>
          <w:b/>
          <w:bCs/>
          <w:noProof/>
        </w:rPr>
        <w:t>波動性與信號表現</w:t>
      </w:r>
      <w:r>
        <w:rPr>
          <w:rFonts w:hint="eastAsia"/>
          <w:noProof/>
        </w:rPr>
        <w:t>：</w:t>
      </w:r>
    </w:p>
    <w:p w14:paraId="04FA671F" w14:textId="77777777" w:rsidR="00F421CE" w:rsidRDefault="00F421CE" w:rsidP="00F421CE">
      <w:pPr>
        <w:rPr>
          <w:noProof/>
        </w:rPr>
      </w:pPr>
      <w:r>
        <w:rPr>
          <w:rFonts w:hint="eastAsia"/>
          <w:noProof/>
        </w:rPr>
        <w:t>在一些波動性較高的股票（如</w:t>
      </w:r>
      <w:r>
        <w:rPr>
          <w:noProof/>
        </w:rPr>
        <w:t xml:space="preserve"> 1216.TW </w:t>
      </w:r>
      <w:r>
        <w:rPr>
          <w:rFonts w:hint="eastAsia"/>
          <w:noProof/>
        </w:rPr>
        <w:t>和</w:t>
      </w:r>
      <w:r>
        <w:rPr>
          <w:noProof/>
        </w:rPr>
        <w:t xml:space="preserve"> 1234.TW</w:t>
      </w:r>
      <w:r>
        <w:rPr>
          <w:rFonts w:hint="eastAsia"/>
          <w:noProof/>
        </w:rPr>
        <w:t>），策略表現略好，收益率較其他股票高，但整體仍低於預期。</w:t>
      </w:r>
    </w:p>
    <w:p w14:paraId="1552D2E0" w14:textId="77777777" w:rsidR="00F421CE" w:rsidRDefault="00F421CE" w:rsidP="00F421CE">
      <w:pPr>
        <w:rPr>
          <w:noProof/>
        </w:rPr>
      </w:pPr>
      <w:r>
        <w:rPr>
          <w:rFonts w:hint="eastAsia"/>
          <w:b/>
          <w:bCs/>
          <w:noProof/>
        </w:rPr>
        <w:t>策略可能的問題</w:t>
      </w:r>
      <w:r>
        <w:rPr>
          <w:rFonts w:hint="eastAsia"/>
          <w:noProof/>
        </w:rPr>
        <w:t>：</w:t>
      </w:r>
    </w:p>
    <w:p w14:paraId="2570A136" w14:textId="77777777" w:rsidR="00F421CE" w:rsidRDefault="00F421CE" w:rsidP="00F421CE">
      <w:pPr>
        <w:rPr>
          <w:noProof/>
        </w:rPr>
      </w:pPr>
      <w:r>
        <w:rPr>
          <w:noProof/>
        </w:rPr>
        <w:t xml:space="preserve">RSI </w:t>
      </w:r>
      <w:r>
        <w:rPr>
          <w:rFonts w:hint="eastAsia"/>
          <w:noProof/>
        </w:rPr>
        <w:t>和均線的參數設置：可能對特定股票的波動性不敏感，導致錯過有效的買賣信號。</w:t>
      </w:r>
    </w:p>
    <w:p w14:paraId="6CE5532E" w14:textId="77777777" w:rsidR="00F421CE" w:rsidRDefault="00F421CE" w:rsidP="00F421CE">
      <w:pPr>
        <w:rPr>
          <w:noProof/>
        </w:rPr>
      </w:pPr>
      <w:r>
        <w:rPr>
          <w:rFonts w:hint="eastAsia"/>
          <w:bCs/>
          <w:noProof/>
        </w:rPr>
        <w:t>進場與出場條件過於簡單</w:t>
      </w:r>
      <w:r>
        <w:rPr>
          <w:rFonts w:hint="eastAsia"/>
          <w:noProof/>
        </w:rPr>
        <w:t>：市場走勢可能需要更複雜的條件過濾噪音。</w:t>
      </w:r>
    </w:p>
    <w:p w14:paraId="34B4FF40" w14:textId="77777777" w:rsidR="00F421CE" w:rsidRDefault="00F421CE" w:rsidP="00F421CE">
      <w:pPr>
        <w:rPr>
          <w:b/>
          <w:bCs/>
          <w:noProof/>
        </w:rPr>
      </w:pPr>
      <w:r>
        <w:rPr>
          <w:rFonts w:hint="eastAsia"/>
          <w:b/>
          <w:bCs/>
          <w:noProof/>
        </w:rPr>
        <w:t>未來可優化方向</w:t>
      </w:r>
    </w:p>
    <w:p w14:paraId="1EB117B0" w14:textId="77777777" w:rsidR="00F421CE" w:rsidRDefault="00F421CE" w:rsidP="00F421CE">
      <w:pPr>
        <w:numPr>
          <w:ilvl w:val="0"/>
          <w:numId w:val="7"/>
        </w:numPr>
        <w:rPr>
          <w:noProof/>
        </w:rPr>
      </w:pPr>
      <w:r>
        <w:rPr>
          <w:rFonts w:hint="eastAsia"/>
          <w:b/>
          <w:bCs/>
          <w:noProof/>
        </w:rPr>
        <w:t>調整</w:t>
      </w:r>
      <w:r>
        <w:rPr>
          <w:b/>
          <w:bCs/>
          <w:noProof/>
        </w:rPr>
        <w:t xml:space="preserve"> RSI </w:t>
      </w:r>
      <w:r>
        <w:rPr>
          <w:rFonts w:hint="eastAsia"/>
          <w:b/>
          <w:bCs/>
          <w:noProof/>
        </w:rPr>
        <w:t>和均線參數</w:t>
      </w:r>
      <w:r>
        <w:rPr>
          <w:rFonts w:hint="eastAsia"/>
          <w:noProof/>
        </w:rPr>
        <w:t>：根據不同股票的歷史波動性，優化</w:t>
      </w:r>
      <w:r>
        <w:rPr>
          <w:noProof/>
        </w:rPr>
        <w:t xml:space="preserve"> RSI </w:t>
      </w:r>
      <w:r>
        <w:rPr>
          <w:rFonts w:hint="eastAsia"/>
          <w:noProof/>
        </w:rPr>
        <w:t>週期和均線長度，適配每支股票的特性。</w:t>
      </w:r>
    </w:p>
    <w:p w14:paraId="0AE681D3" w14:textId="77777777" w:rsidR="00F421CE" w:rsidRDefault="00F421CE" w:rsidP="00F421CE">
      <w:pPr>
        <w:numPr>
          <w:ilvl w:val="0"/>
          <w:numId w:val="7"/>
        </w:numPr>
        <w:rPr>
          <w:noProof/>
        </w:rPr>
      </w:pPr>
      <w:r>
        <w:rPr>
          <w:rFonts w:hint="eastAsia"/>
          <w:b/>
          <w:bCs/>
          <w:noProof/>
        </w:rPr>
        <w:t>增加風險管理措施</w:t>
      </w:r>
      <w:r>
        <w:rPr>
          <w:rFonts w:hint="eastAsia"/>
          <w:noProof/>
        </w:rPr>
        <w:t>：設置止損和止盈條件，避免因市場大幅波動導致的潛在損失。</w:t>
      </w:r>
    </w:p>
    <w:p w14:paraId="480F28AF" w14:textId="77777777" w:rsidR="00F421CE" w:rsidRDefault="00F421CE" w:rsidP="00F421CE">
      <w:pPr>
        <w:numPr>
          <w:ilvl w:val="0"/>
          <w:numId w:val="7"/>
        </w:numPr>
        <w:rPr>
          <w:noProof/>
        </w:rPr>
      </w:pPr>
      <w:r>
        <w:rPr>
          <w:rFonts w:hint="eastAsia"/>
          <w:b/>
          <w:bCs/>
          <w:noProof/>
        </w:rPr>
        <w:t>引入更多技術指標</w:t>
      </w:r>
      <w:r>
        <w:rPr>
          <w:rFonts w:hint="eastAsia"/>
          <w:noProof/>
        </w:rPr>
        <w:t>：加入其他指標（如</w:t>
      </w:r>
      <w:r>
        <w:rPr>
          <w:noProof/>
        </w:rPr>
        <w:t xml:space="preserve"> MACD</w:t>
      </w:r>
      <w:r>
        <w:rPr>
          <w:rFonts w:hint="eastAsia"/>
          <w:noProof/>
        </w:rPr>
        <w:t>、</w:t>
      </w:r>
      <w:r>
        <w:rPr>
          <w:noProof/>
        </w:rPr>
        <w:t>Bollinger Bands</w:t>
      </w:r>
      <w:r>
        <w:rPr>
          <w:rFonts w:hint="eastAsia"/>
          <w:noProof/>
        </w:rPr>
        <w:t>等）輔助判斷，避免單一策略的局限性。</w:t>
      </w:r>
    </w:p>
    <w:p w14:paraId="0898A1C9" w14:textId="77777777" w:rsidR="00F421CE" w:rsidRDefault="00F421CE" w:rsidP="00F421CE">
      <w:pPr>
        <w:numPr>
          <w:ilvl w:val="0"/>
          <w:numId w:val="7"/>
        </w:numPr>
        <w:rPr>
          <w:noProof/>
        </w:rPr>
      </w:pPr>
      <w:r>
        <w:rPr>
          <w:rFonts w:hint="eastAsia"/>
          <w:b/>
          <w:bCs/>
          <w:noProof/>
        </w:rPr>
        <w:t>測試更長的回測期間</w:t>
      </w:r>
      <w:r>
        <w:rPr>
          <w:rFonts w:hint="eastAsia"/>
          <w:noProof/>
        </w:rPr>
        <w:t>：檢查策略是否在不同市場條件下均有效，例如牛市、熊市或震盪市。</w:t>
      </w:r>
    </w:p>
    <w:p w14:paraId="6283582F" w14:textId="77777777" w:rsidR="00F421CE" w:rsidRDefault="00F421CE" w:rsidP="00F421CE">
      <w:pPr>
        <w:numPr>
          <w:ilvl w:val="0"/>
          <w:numId w:val="7"/>
        </w:numPr>
        <w:rPr>
          <w:noProof/>
        </w:rPr>
      </w:pPr>
      <w:r>
        <w:rPr>
          <w:rFonts w:hint="eastAsia"/>
          <w:b/>
          <w:bCs/>
          <w:noProof/>
        </w:rPr>
        <w:t>多股票組合測試</w:t>
      </w:r>
      <w:r>
        <w:rPr>
          <w:rFonts w:hint="eastAsia"/>
          <w:noProof/>
        </w:rPr>
        <w:t>：將策略應用於更大樣本範圍的股票組合，以驗證穩健性。</w:t>
      </w:r>
    </w:p>
    <w:p w14:paraId="63DAFDCE" w14:textId="77777777" w:rsidR="00F421CE" w:rsidRDefault="00F421CE" w:rsidP="00F421CE">
      <w:pPr>
        <w:rPr>
          <w:noProof/>
        </w:rPr>
      </w:pPr>
    </w:p>
    <w:p w14:paraId="6347B5E7" w14:textId="77777777" w:rsidR="00F421CE" w:rsidRPr="003C73EA" w:rsidRDefault="00F421CE" w:rsidP="00F421CE">
      <w:pPr>
        <w:rPr>
          <w:noProof/>
          <w:sz w:val="24"/>
          <w:szCs w:val="24"/>
        </w:rPr>
      </w:pPr>
      <w:r w:rsidRPr="003C73EA">
        <w:rPr>
          <w:noProof/>
          <w:kern w:val="0"/>
          <w:sz w:val="24"/>
          <w:szCs w:val="24"/>
          <w14:ligatures w14:val="none"/>
        </w:rPr>
        <w:br w:type="page"/>
      </w:r>
    </w:p>
    <w:p w14:paraId="511A589A" w14:textId="77777777" w:rsidR="00F421CE" w:rsidRDefault="00F421CE" w:rsidP="00F421CE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 xml:space="preserve">4. </w:t>
      </w:r>
      <w:r>
        <w:rPr>
          <w:rFonts w:hint="eastAsia"/>
          <w:b/>
          <w:bCs/>
          <w:noProof/>
          <w:sz w:val="32"/>
          <w:szCs w:val="32"/>
        </w:rPr>
        <w:t>總結</w:t>
      </w:r>
    </w:p>
    <w:p w14:paraId="7AC5E52F" w14:textId="77777777" w:rsidR="00F421CE" w:rsidRDefault="00F421CE" w:rsidP="00F421CE">
      <w:pPr>
        <w:rPr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 xml:space="preserve">4.1 </w:t>
      </w:r>
      <w:r>
        <w:rPr>
          <w:rFonts w:hint="eastAsia"/>
          <w:b/>
          <w:bCs/>
          <w:noProof/>
          <w:sz w:val="28"/>
          <w:szCs w:val="28"/>
        </w:rPr>
        <w:t>台灣食品股的分散投資與風險對沖</w:t>
      </w:r>
    </w:p>
    <w:p w14:paraId="14F622BB" w14:textId="77777777" w:rsidR="00F421CE" w:rsidRDefault="00F421CE" w:rsidP="00F421CE">
      <w:pPr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如果希望投資與大盤較無關聯的標的，</w:t>
      </w:r>
      <w:r>
        <w:rPr>
          <w:noProof/>
          <w:sz w:val="24"/>
          <w:szCs w:val="24"/>
        </w:rPr>
        <w:t xml:space="preserve">1201.TW </w:t>
      </w:r>
      <w:r>
        <w:rPr>
          <w:rFonts w:hint="eastAsia"/>
          <w:noProof/>
          <w:sz w:val="24"/>
          <w:szCs w:val="24"/>
        </w:rPr>
        <w:t>、</w:t>
      </w:r>
      <w:r>
        <w:rPr>
          <w:noProof/>
          <w:sz w:val="24"/>
          <w:szCs w:val="24"/>
        </w:rPr>
        <w:t>1218.TW</w:t>
      </w:r>
      <w:r>
        <w:rPr>
          <w:rFonts w:hint="eastAsia"/>
          <w:noProof/>
          <w:sz w:val="24"/>
          <w:szCs w:val="24"/>
        </w:rPr>
        <w:t>是候選。</w:t>
      </w:r>
    </w:p>
    <w:p w14:paraId="419F0DB7" w14:textId="77777777" w:rsidR="00F421CE" w:rsidRDefault="00F421CE" w:rsidP="00F421CE">
      <w:pPr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如果希望更貼近市場趨勢，</w:t>
      </w:r>
      <w:r>
        <w:rPr>
          <w:noProof/>
          <w:sz w:val="24"/>
          <w:szCs w:val="24"/>
        </w:rPr>
        <w:t>1216.TW</w:t>
      </w:r>
      <w:r>
        <w:rPr>
          <w:rFonts w:hint="eastAsia"/>
          <w:noProof/>
          <w:sz w:val="24"/>
          <w:szCs w:val="24"/>
        </w:rPr>
        <w:t>、</w:t>
      </w:r>
      <w:r>
        <w:rPr>
          <w:noProof/>
          <w:sz w:val="24"/>
          <w:szCs w:val="24"/>
        </w:rPr>
        <w:t>1217.TW</w:t>
      </w:r>
      <w:r>
        <w:rPr>
          <w:rFonts w:hint="eastAsia"/>
          <w:noProof/>
          <w:sz w:val="24"/>
          <w:szCs w:val="24"/>
        </w:rPr>
        <w:t>、</w:t>
      </w:r>
      <w:r>
        <w:rPr>
          <w:noProof/>
          <w:sz w:val="24"/>
          <w:szCs w:val="24"/>
        </w:rPr>
        <w:t>1234.TW</w:t>
      </w:r>
      <w:r>
        <w:rPr>
          <w:rFonts w:hint="eastAsia"/>
          <w:noProof/>
          <w:sz w:val="24"/>
          <w:szCs w:val="24"/>
        </w:rPr>
        <w:t>、</w:t>
      </w:r>
      <w:r>
        <w:rPr>
          <w:noProof/>
          <w:sz w:val="24"/>
          <w:szCs w:val="24"/>
        </w:rPr>
        <w:t>1737.TW</w:t>
      </w:r>
      <w:r>
        <w:rPr>
          <w:rFonts w:hint="eastAsia"/>
          <w:noProof/>
          <w:sz w:val="24"/>
          <w:szCs w:val="24"/>
        </w:rPr>
        <w:t>更為合適。</w:t>
      </w:r>
    </w:p>
    <w:p w14:paraId="0DDDFEA6" w14:textId="77777777" w:rsidR="00F421CE" w:rsidRDefault="00F421CE" w:rsidP="00F421CE">
      <w:pPr>
        <w:rPr>
          <w:noProof/>
          <w:sz w:val="24"/>
          <w:szCs w:val="24"/>
        </w:rPr>
      </w:pPr>
      <w:r>
        <w:rPr>
          <w:b/>
          <w:bCs/>
          <w:noProof/>
          <w:sz w:val="28"/>
          <w:szCs w:val="28"/>
        </w:rPr>
        <w:t xml:space="preserve">4.2 </w:t>
      </w:r>
      <w:r>
        <w:rPr>
          <w:rFonts w:hint="eastAsia"/>
          <w:b/>
          <w:bCs/>
          <w:noProof/>
          <w:sz w:val="28"/>
          <w:szCs w:val="28"/>
        </w:rPr>
        <w:t>台灣食品股的回測策略</w:t>
      </w:r>
    </w:p>
    <w:p w14:paraId="187EDFA1" w14:textId="77777777" w:rsidR="00F421CE" w:rsidRDefault="00F421CE" w:rsidP="00F421CE">
      <w:pPr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 xml:space="preserve">　　結合</w:t>
      </w:r>
      <w:r>
        <w:rPr>
          <w:noProof/>
          <w:sz w:val="24"/>
          <w:szCs w:val="24"/>
        </w:rPr>
        <w:t>RSI</w:t>
      </w:r>
      <w:r>
        <w:rPr>
          <w:rFonts w:hint="eastAsia"/>
          <w:noProof/>
          <w:sz w:val="24"/>
          <w:szCs w:val="24"/>
        </w:rPr>
        <w:t>和</w:t>
      </w:r>
      <w:r>
        <w:rPr>
          <w:noProof/>
          <w:sz w:val="24"/>
          <w:szCs w:val="24"/>
        </w:rPr>
        <w:t>MA</w:t>
      </w:r>
      <w:r>
        <w:rPr>
          <w:rFonts w:hint="eastAsia"/>
          <w:noProof/>
          <w:sz w:val="24"/>
          <w:szCs w:val="24"/>
        </w:rPr>
        <w:t>的簡易策略在短期內能小幅盈利，但整體收益率偏低且不穩定，說明策略的適用性有限，可能需要進一步優化參數和引入更多的輔助信號。此外，建議根據不同股票的特性，定制化策略參數，以提升策略表現。</w:t>
      </w:r>
    </w:p>
    <w:p w14:paraId="29E49670" w14:textId="0578B48A" w:rsidR="003C73EA" w:rsidRDefault="003C73EA" w:rsidP="003C73EA">
      <w:pPr>
        <w:rPr>
          <w:b/>
          <w:bCs/>
          <w:noProof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t>5</w:t>
      </w:r>
      <w:r>
        <w:rPr>
          <w:b/>
          <w:bCs/>
          <w:noProof/>
          <w:sz w:val="32"/>
          <w:szCs w:val="32"/>
        </w:rPr>
        <w:t xml:space="preserve">. </w:t>
      </w:r>
      <w:r>
        <w:rPr>
          <w:rFonts w:hint="eastAsia"/>
          <w:b/>
          <w:bCs/>
          <w:noProof/>
          <w:sz w:val="32"/>
          <w:szCs w:val="32"/>
        </w:rPr>
        <w:t>程式碼</w:t>
      </w:r>
    </w:p>
    <w:p w14:paraId="1D1A9CF4" w14:textId="751CE878" w:rsidR="003C73EA" w:rsidRPr="003C73EA" w:rsidRDefault="003C73EA" w:rsidP="003C73EA">
      <w:pPr>
        <w:rPr>
          <w:rFonts w:hint="eastAsia"/>
          <w:noProof/>
          <w:sz w:val="24"/>
          <w:szCs w:val="24"/>
        </w:rPr>
      </w:pPr>
      <w:r w:rsidRPr="003C73EA">
        <w:rPr>
          <w:noProof/>
          <w:sz w:val="24"/>
          <w:szCs w:val="24"/>
        </w:rPr>
        <w:t>https://github.com/kyynk/foodstock_analysis/</w:t>
      </w:r>
    </w:p>
    <w:p w14:paraId="5655D53D" w14:textId="77777777" w:rsidR="00F421CE" w:rsidRDefault="00F421CE" w:rsidP="00F421CE">
      <w:pPr>
        <w:rPr>
          <w:noProof/>
        </w:rPr>
      </w:pPr>
    </w:p>
    <w:p w14:paraId="35E27661" w14:textId="0A2239A0" w:rsidR="00F421CE" w:rsidRDefault="00F421CE" w:rsidP="00F421CE">
      <w:pPr>
        <w:rPr>
          <w:noProof/>
        </w:rPr>
      </w:pPr>
    </w:p>
    <w:p w14:paraId="4BE42C52" w14:textId="77777777" w:rsidR="00F421CE" w:rsidRDefault="00F421CE" w:rsidP="00F421CE">
      <w:pPr>
        <w:jc w:val="center"/>
        <w:rPr>
          <w:noProof/>
          <w:sz w:val="24"/>
          <w:szCs w:val="24"/>
        </w:rPr>
      </w:pPr>
    </w:p>
    <w:p w14:paraId="0B8531C4" w14:textId="77777777" w:rsidR="00F421CE" w:rsidRDefault="00F421CE" w:rsidP="00F421CE">
      <w:pPr>
        <w:rPr>
          <w:noProof/>
          <w:sz w:val="24"/>
          <w:szCs w:val="24"/>
        </w:rPr>
      </w:pPr>
    </w:p>
    <w:p w14:paraId="0FD2D5DE" w14:textId="77777777" w:rsidR="00F421CE" w:rsidRDefault="00F421CE" w:rsidP="00F421CE">
      <w:pPr>
        <w:rPr>
          <w:noProof/>
          <w:sz w:val="24"/>
          <w:szCs w:val="24"/>
        </w:rPr>
      </w:pPr>
    </w:p>
    <w:p w14:paraId="1ED423B8" w14:textId="77777777" w:rsidR="00B23F73" w:rsidRDefault="00B23F73"/>
    <w:sectPr w:rsidR="00B23F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DFKai-SB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7260C1"/>
    <w:multiLevelType w:val="multilevel"/>
    <w:tmpl w:val="0E24D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3CB4229"/>
    <w:multiLevelType w:val="multilevel"/>
    <w:tmpl w:val="A7B0B2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55924E7"/>
    <w:multiLevelType w:val="multilevel"/>
    <w:tmpl w:val="E7146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9FD4654"/>
    <w:multiLevelType w:val="multilevel"/>
    <w:tmpl w:val="9D320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1C548FC"/>
    <w:multiLevelType w:val="multilevel"/>
    <w:tmpl w:val="8200B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2133CB5"/>
    <w:multiLevelType w:val="multilevel"/>
    <w:tmpl w:val="48AA3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2906ACA"/>
    <w:multiLevelType w:val="multilevel"/>
    <w:tmpl w:val="3CCAA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61918928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204178239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1089502595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899942019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683214278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 w16cid:durableId="1948929764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 w16cid:durableId="1557737537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6F6"/>
    <w:rsid w:val="000E55BF"/>
    <w:rsid w:val="00235253"/>
    <w:rsid w:val="002E5EA6"/>
    <w:rsid w:val="003C73EA"/>
    <w:rsid w:val="006A66F6"/>
    <w:rsid w:val="008B2F8B"/>
    <w:rsid w:val="00B23F73"/>
    <w:rsid w:val="00C97C6D"/>
    <w:rsid w:val="00F42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E43A0E"/>
  <w15:chartTrackingRefBased/>
  <w15:docId w15:val="{C856B432-6ABC-49C1-86C5-472C67759C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TW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21CE"/>
    <w:pPr>
      <w:spacing w:line="256" w:lineRule="auto"/>
    </w:pPr>
    <w:rPr>
      <w:rFonts w:ascii="Times New Roman" w:eastAsia="DFKai-SB" w:hAnsi="Times New Roman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F421C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F421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List Paragraph"/>
    <w:basedOn w:val="a"/>
    <w:uiPriority w:val="34"/>
    <w:qFormat/>
    <w:rsid w:val="003C73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3807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9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3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11</Pages>
  <Words>402</Words>
  <Characters>2296</Characters>
  <Application>Microsoft Office Word</Application>
  <DocSecurity>0</DocSecurity>
  <Lines>19</Lines>
  <Paragraphs>5</Paragraphs>
  <ScaleCrop>false</ScaleCrop>
  <Company/>
  <LinksUpToDate>false</LinksUpToDate>
  <CharactersWithSpaces>2693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rongchun yang</dc:creator>
  <cp:keywords/>
  <dc:description/>
  <cp:lastModifiedBy>rongchun yang</cp:lastModifiedBy>
  <cp:revision>3</cp:revision>
  <cp:lastPrinted>2024-12-25T10:22:00Z</cp:lastPrinted>
  <dcterms:created xsi:type="dcterms:W3CDTF">2024-12-25T10:21:00Z</dcterms:created>
  <dcterms:modified xsi:type="dcterms:W3CDTF">2024-12-25T10:29:00Z</dcterms:modified>
</cp:coreProperties>
</file>