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Financial Tracker</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New Developer Guide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 w:type="dxa"/>
        <w:jc w:val="center"/>
        <w:tblLayout w:type="fixed"/>
        <w:tblLook w:val="0600"/>
        <w:tblInd w:type="dxa" w:w="120"/>
      </w:tblPr>
      <w:tblGrid>
        <w:gridCol w:w="3200"/>
        <w:gridCol w:w="400"/>
        <w:gridCol w:w="3200"/>
        <w:gridCol w:w="400"/>
        <w:gridCol w:w="3200"/>
      </w:tblGrid>
      <w:tr>
        <w:trPr>
          <w:cantSplit w:val="0"/>
          <w:tblHeader w:val="0"/>
        </w:trPr>
        <w:tc>
          <w:tcPr>
            <w:tcW w:type="dxa" w:w="3200"/>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Current implementation</w:t>
            </w:r>
            <w:r>
              <w:rPr>
                <w:rtl w:val="0"/>
              </w:rPr>
            </w:r>
          </w:p>
        </w:tc>
        <w:tc>
          <w:tcPr>
            <w:tcW w:type="dxa" w:w="400"/>
          </w:tcPr>
          <w:p w14:paraId="00000017">
            <w:pPr>
              <w:rPr>
                <w:rFonts w:ascii="Helvetica Neue" w:cs="Helvetica Neue" w:eastAsia="Helvetica Neue" w:hAnsi="Helvetica Neue"/>
              </w:rPr>
            </w:pPr>
            <w:r>
              <w:rPr>
                <w:rtl w:val="0"/>
              </w:rPr>
            </w:r>
          </w:p>
        </w:tc>
        <w:tc>
          <w:tcPr>
            <w:tcW w:type="dxa" w:w="3200"/>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Project maintainers</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tcW w:type="dxa" w:w="400"/>
          </w:tcPr>
          <w:p w14:paraId="0000001A">
            <w:pPr>
              <w:rPr>
                <w:rFonts w:ascii="Helvetica Neue" w:cs="Helvetica Neue" w:eastAsia="Helvetica Neue" w:hAnsi="Helvetica Neue"/>
              </w:rPr>
            </w:pPr>
            <w:r>
              <w:rPr>
                <w:rtl w:val="0"/>
              </w:rPr>
            </w:r>
          </w:p>
        </w:tc>
        <w:tc>
          <w:tcPr>
            <w:tcW w:type="dxa" w:w="3200"/>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July 29, 2026</w:t>
            </w:r>
          </w:p>
        </w:tc>
      </w:tr>
    </w:tbl>
    <w:p w14:paraId="0000001D">
      <w:pPr>
        <w:spacing w:after="110" w:line="300" w:lineRule="auto"/>
        <w:rPr>
          <w:rFonts w:ascii="Helvetica Neue" w:cs="Helvetica Neue" w:eastAsia="Helvetica Neue" w:hAnsi="Helvetica Neue"/>
        </w:rPr>
      </w:pPr>
      <w:r>
        <w:rPr>
          <w:rtl w:val="0"/>
        </w:rPr>
      </w:r>
    </w:p>
    <w:tbl>
      <w:tblPr>
        <w:tblStyle w:val="Table2"/>
        <w:tblW w:w="10155"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Ind w:type="dxa" w:w="120"/>
      </w:tblPr>
      <w:tblGrid>
        <w:gridCol w:w="1815"/>
        <w:gridCol w:w="8340"/>
      </w:tblGrid>
      <w:tr>
        <w:trPr>
          <w:cantSplit w:val="1"/>
          <w:tblHeader w:val="0"/>
        </w:trPr>
        <w:tc>
          <w:tcPr>
            <w:shd w:fill="cfe2f3" w:val="clear"/>
            <w:tcMar>
              <w:top w:w="110.0" w:type="dxa"/>
              <w:left w:w="120.0" w:type="dxa"/>
              <w:bottom w:w="110.0" w:type="dxa"/>
              <w:right w:w="120.0" w:type="dxa"/>
            </w:tcMar>
            <w:vAlign w:val="center"/>
            <w:tcW w:type="dxa" w:w="1815"/>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W w:type="dxa" w:w="8340"/>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Prepared from the current repository code</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W w:type="dxa" w:w="1815"/>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W w:type="dxa" w:w="8340"/>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maintainer(s)</w:t>
            </w:r>
            <w:r>
              <w:rPr>
                <w:rtl w:val="0"/>
              </w:rPr>
            </w:r>
          </w:p>
        </w:tc>
      </w:tr>
      <w:tr>
        <w:trPr>
          <w:cantSplit w:val="1"/>
          <w:tblHeader w:val="0"/>
        </w:trPr>
        <w:tc>
          <w:tcPr>
            <w:shd w:fill="cfe2f3" w:val="clear"/>
            <w:tcMar>
              <w:top w:w="110.0" w:type="dxa"/>
              <w:left w:w="120.0" w:type="dxa"/>
              <w:bottom w:w="110.0" w:type="dxa"/>
              <w:right w:w="120.0" w:type="dxa"/>
            </w:tcMar>
            <w:vAlign w:val="center"/>
            <w:tcW w:type="dxa" w:w="1815"/>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W w:type="dxa" w:w="8340"/>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README.md; AGENTS.md; server/db/schema.sql</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blHeader w:val="0"/>
        </w:trPr>
        <w:tc>
          <w:tcPr>
            <w:shd w:fill="cfe2f3" w:val="clear"/>
            <w:tcMar>
              <w:top w:w="110.0" w:type="dxa"/>
              <w:left w:w="120.0" w:type="dxa"/>
              <w:bottom w:w="110.0" w:type="dxa"/>
              <w:right w:w="120.0" w:type="dxa"/>
            </w:tcMar>
            <w:vAlign w:val="center"/>
            <w:tcW w:type="dxa" w:w="1815"/>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W w:type="dxa" w:w="8340"/>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Client, API, data model, security, operations, and safe-change workflow</w:t>
            </w:r>
            <w:r>
              <w:rPr>
                <w:rtl w:val="0"/>
              </w:rPr>
            </w:r>
          </w:p>
        </w:tc>
      </w:tr>
    </w:tbl>
    <w:p>
      <w:pPr>
        <w:pStyle w:val="Heading1"/>
        <w:keepNext/>
        <w:pageBreakBefore w:val="0"/>
        <w:spacing w:before="200" w:after="130"/>
      </w:pPr>
      <w:r>
        <w:rPr>
          <w:rFonts w:ascii="Helvetica Neue" w:hAnsi="Helvetica Neue"/>
          <w:b/>
          <w:color w:val="082A4A"/>
          <w:sz w:val="27"/>
        </w:rPr>
        <w:t>1.  Start Here</w:t>
      </w:r>
    </w:p>
    <w:p>
      <w:pPr>
        <w:keepLines w:val="0"/>
        <w:spacing w:after="110" w:line="278" w:lineRule="auto"/>
      </w:pPr>
      <w:r>
        <w:rPr>
          <w:rFonts w:ascii="Helvetica Neue" w:hAnsi="Helvetica Neue"/>
          <w:i w:val="0"/>
          <w:color w:val="233447"/>
          <w:sz w:val="20"/>
        </w:rPr>
        <w:t>Financial Tracker is a single-user web application for recording expenses, viewing spending analytics, managing recurring payments and receipts, estimating emergency-fund coverage, and creating portable XLSX backups. The browser never talks directly to the database. Every durable change crosses the Express API, passes security and validation, and is then written through the LibSQL database client.</w:t>
      </w:r>
    </w:p>
    <w:p>
      <w:pPr>
        <w:spacing w:before="80" w:after="140" w:line="269" w:lineRule="auto"/>
        <w:ind w:left="173" w:right="173"/>
        <w:shd w:fill="EEF5FA"/>
        <w:pBdr>
          <w:left w:val="single" w:sz="16" w:space="10" w:color="2D74A8"/>
        </w:pBdr>
      </w:pPr>
      <w:r>
        <w:rPr>
          <w:rFonts w:ascii="Helvetica Neue" w:hAnsi="Helvetica Neue"/>
          <w:b/>
          <w:color w:val="082A4A"/>
          <w:sz w:val="19"/>
        </w:rPr>
        <w:t xml:space="preserve">One-sentence mental model  </w:t>
      </w:r>
      <w:r>
        <w:rPr>
          <w:rFonts w:ascii="Helvetica Neue" w:hAnsi="Helvetica Neue"/>
          <w:color w:val="233447"/>
          <w:sz w:val="19"/>
        </w:rPr>
        <w:t>React components display and collect information; App and feature hooks own browser state; services/api.ts performs HTTP; Express routes validate requests; services implement reusable domain logic; the database and receipt directory hold durable state.</w:t>
      </w:r>
    </w:p>
    <w:p>
      <w:pPr>
        <w:pStyle w:val="Heading2"/>
        <w:keepNext/>
        <w:spacing w:before="160" w:after="90"/>
      </w:pPr>
      <w:r>
        <w:rPr>
          <w:rFonts w:ascii="Helvetica Neue" w:hAnsi="Helvetica Neue"/>
          <w:b/>
          <w:color w:val="5B7085"/>
          <w:sz w:val="21"/>
        </w:rPr>
        <w:t>How to read this guide</w:t>
      </w:r>
    </w:p>
    <w:p>
      <w:pPr>
        <w:keepLines w:val="0"/>
        <w:numPr>
          <w:ilvl w:val="0"/>
          <w:numId w:val="7"/>
        </w:numPr>
        <w:spacing w:after="50" w:line="278" w:lineRule="auto"/>
      </w:pPr>
      <w:r>
        <w:rPr>
          <w:rFonts w:ascii="Helvetica Neue" w:hAnsi="Helvetica Neue"/>
          <w:i w:val="0"/>
          <w:color w:val="233447"/>
          <w:sz w:val="20"/>
        </w:rPr>
        <w:t>If you are completely new, read sections 1 through 5 in order before opening individual feature files.</w:t>
      </w:r>
    </w:p>
    <w:p>
      <w:pPr>
        <w:keepLines w:val="0"/>
        <w:numPr>
          <w:ilvl w:val="0"/>
          <w:numId w:val="7"/>
        </w:numPr>
        <w:spacing w:after="50" w:line="278" w:lineRule="auto"/>
      </w:pPr>
      <w:r>
        <w:rPr>
          <w:rFonts w:ascii="Helvetica Neue" w:hAnsi="Helvetica Neue"/>
          <w:i w:val="0"/>
          <w:color w:val="233447"/>
          <w:sz w:val="20"/>
        </w:rPr>
        <w:t>If you need to change a feature, begin with the workflow in section 10, then follow its client API function to the matching server route and service.</w:t>
      </w:r>
    </w:p>
    <w:p>
      <w:pPr>
        <w:keepLines w:val="0"/>
        <w:numPr>
          <w:ilvl w:val="0"/>
          <w:numId w:val="7"/>
        </w:numPr>
        <w:spacing w:after="50" w:line="278" w:lineRule="auto"/>
      </w:pPr>
      <w:r>
        <w:rPr>
          <w:rFonts w:ascii="Helvetica Neue" w:hAnsi="Helvetica Neue"/>
          <w:i w:val="0"/>
          <w:color w:val="233447"/>
          <w:sz w:val="20"/>
        </w:rPr>
        <w:t>If the app will not run, jump to sections 13, 14, and 18 for setup, configuration, and troubleshooting.</w:t>
      </w:r>
    </w:p>
    <w:p>
      <w:pPr>
        <w:keepLines w:val="0"/>
        <w:numPr>
          <w:ilvl w:val="0"/>
          <w:numId w:val="7"/>
        </w:numPr>
        <w:spacing w:after="50" w:line="278" w:lineRule="auto"/>
      </w:pPr>
      <w:r>
        <w:rPr>
          <w:rFonts w:ascii="Helvetica Neue" w:hAnsi="Helvetica Neue"/>
          <w:i w:val="0"/>
          <w:color w:val="233447"/>
          <w:sz w:val="20"/>
        </w:rPr>
        <w:t>If your change touches money, authentication, files, import/export, or deletion, also read sections 9 and 12 before editing.</w:t>
      </w:r>
    </w:p>
    <w:p>
      <w:pPr>
        <w:spacing w:after="0"/>
      </w:pPr>
    </w:p>
    <w:p>
      <w:pPr>
        <w:pStyle w:val="Heading2"/>
        <w:keepNext/>
        <w:spacing w:before="160" w:after="90"/>
      </w:pPr>
      <w:r>
        <w:rPr>
          <w:rFonts w:ascii="Helvetica Neue" w:hAnsi="Helvetica Neue"/>
          <w:b/>
          <w:color w:val="5B7085"/>
          <w:sz w:val="21"/>
        </w:rPr>
        <w:t>Guide map</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2500"/>
        <w:gridCol w:w="7724"/>
      </w:tblGrid>
      <w:tr>
        <w:trPr>
          <w:tblHeader w:val="true"/>
        </w:trPr>
        <w:tc>
          <w:tcPr>
            <w:tcW w:type="dxa" w:w="25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8"/>
              </w:rPr>
              <w:t>Area</w:t>
            </w:r>
          </w:p>
        </w:tc>
        <w:tc>
          <w:tcPr>
            <w:tcW w:type="dxa" w:w="772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8"/>
              </w:rPr>
              <w:t>What you will understand</w:t>
            </w:r>
          </w:p>
        </w:tc>
      </w:tr>
      <w:tr>
        <w:trPr>
          <w:cantSplit/>
        </w:trPr>
        <w:tc>
          <w:tcPr>
            <w:tcW w:type="dxa" w:w="25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8"/>
              </w:rPr>
              <w:t>Foundations</w:t>
            </w:r>
          </w:p>
        </w:tc>
        <w:tc>
          <w:tcPr>
            <w:tcW w:type="dxa" w:w="77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8"/>
              </w:rPr>
              <w:t>Purpose, terminology, technology, and repository layout</w:t>
            </w:r>
          </w:p>
        </w:tc>
      </w:tr>
      <w:tr>
        <w:trPr>
          <w:cantSplit/>
        </w:trPr>
        <w:tc>
          <w:tcPr>
            <w:tcW w:type="dxa" w:w="25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8"/>
              </w:rPr>
              <w:t>Architecture</w:t>
            </w:r>
          </w:p>
        </w:tc>
        <w:tc>
          <w:tcPr>
            <w:tcW w:type="dxa" w:w="77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8"/>
              </w:rPr>
              <w:t>How the browser, API, services, database, files, and external provider connect</w:t>
            </w:r>
          </w:p>
        </w:tc>
      </w:tr>
      <w:tr>
        <w:trPr>
          <w:cantSplit/>
        </w:trPr>
        <w:tc>
          <w:tcPr>
            <w:tcW w:type="dxa" w:w="25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8"/>
              </w:rPr>
              <w:t>Feature flows</w:t>
            </w:r>
          </w:p>
        </w:tc>
        <w:tc>
          <w:tcPr>
            <w:tcW w:type="dxa" w:w="77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8"/>
              </w:rPr>
              <w:t>Authentication, expenses, recurring payments, receipts, emergency fund, backup, and reset</w:t>
            </w:r>
          </w:p>
        </w:tc>
      </w:tr>
      <w:tr>
        <w:trPr>
          <w:cantSplit/>
        </w:trPr>
        <w:tc>
          <w:tcPr>
            <w:tcW w:type="dxa" w:w="25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8"/>
              </w:rPr>
              <w:t>Contracts</w:t>
            </w:r>
          </w:p>
        </w:tc>
        <w:tc>
          <w:tcPr>
            <w:tcW w:type="dxa" w:w="77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8"/>
              </w:rPr>
              <w:t>API endpoints, stored data, money rules, timestamps, validation, and failure behavior</w:t>
            </w:r>
          </w:p>
        </w:tc>
      </w:tr>
      <w:tr>
        <w:trPr>
          <w:cantSplit/>
        </w:trPr>
        <w:tc>
          <w:tcPr>
            <w:tcW w:type="dxa" w:w="25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8"/>
              </w:rPr>
              <w:t>Developer workflow</w:t>
            </w:r>
          </w:p>
        </w:tc>
        <w:tc>
          <w:tcPr>
            <w:tcW w:type="dxa" w:w="77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8"/>
              </w:rPr>
              <w:t>Local setup, quality checks, safe edits, deployment, and troubleshooting</w:t>
            </w:r>
          </w:p>
        </w:tc>
      </w:tr>
    </w:tbl>
    <w:p>
      <w:pPr>
        <w:spacing w:after="20"/>
      </w:pPr>
    </w:p>
    <w:p>
      <w:pPr>
        <w:pStyle w:val="Heading1"/>
        <w:keepNext/>
        <w:pageBreakBefore w:val="0"/>
        <w:spacing w:before="200" w:after="130"/>
      </w:pPr>
      <w:r>
        <w:rPr>
          <w:rFonts w:ascii="Helvetica Neue" w:hAnsi="Helvetica Neue"/>
          <w:b/>
          <w:color w:val="082A4A"/>
          <w:sz w:val="27"/>
        </w:rPr>
        <w:t>2.  Project Purpose and Boundaries</w:t>
      </w:r>
    </w:p>
    <w:p>
      <w:pPr>
        <w:keepLines w:val="0"/>
        <w:spacing w:after="110" w:line="278" w:lineRule="auto"/>
      </w:pPr>
      <w:r>
        <w:rPr>
          <w:rFonts w:ascii="Helvetica Neue" w:hAnsi="Helvetica Neue"/>
          <w:i w:val="0"/>
          <w:color w:val="233447"/>
          <w:sz w:val="20"/>
        </w:rPr>
        <w:t>The application helps one configured administrator track personal spending in Malaysian Ringgit (MYR) and Indonesian Rupiah (IDR). An expense can be entered in either currency, but the server stores both converted values and the exact rate used so historical totals do not silently change when today's rate changes.</w:t>
      </w:r>
    </w:p>
    <w:p>
      <w:pPr>
        <w:pStyle w:val="Heading2"/>
        <w:keepNext/>
        <w:spacing w:before="160" w:after="90"/>
      </w:pPr>
      <w:r>
        <w:rPr>
          <w:rFonts w:ascii="Helvetica Neue" w:hAnsi="Helvetica Neue"/>
          <w:b/>
          <w:color w:val="5B7085"/>
          <w:sz w:val="21"/>
        </w:rPr>
        <w:t>What the application owns</w:t>
      </w:r>
    </w:p>
    <w:p>
      <w:pPr>
        <w:keepLines w:val="0"/>
        <w:numPr>
          <w:ilvl w:val="0"/>
          <w:numId w:val="8"/>
        </w:numPr>
        <w:spacing w:after="50" w:line="278" w:lineRule="auto"/>
      </w:pPr>
      <w:r>
        <w:rPr>
          <w:rFonts w:ascii="Helvetica Neue" w:hAnsi="Helvetica Neue"/>
          <w:i w:val="0"/>
          <w:color w:val="233447"/>
          <w:sz w:val="20"/>
        </w:rPr>
        <w:t>Expense records, managed categories, recurring-payment rules and generated occurrences.</w:t>
      </w:r>
    </w:p>
    <w:p>
      <w:pPr>
        <w:keepLines w:val="0"/>
        <w:numPr>
          <w:ilvl w:val="0"/>
          <w:numId w:val="8"/>
        </w:numPr>
        <w:spacing w:after="50" w:line="278" w:lineRule="auto"/>
      </w:pPr>
      <w:r>
        <w:rPr>
          <w:rFonts w:ascii="Helvetica Neue" w:hAnsi="Helvetica Neue"/>
          <w:i w:val="0"/>
          <w:color w:val="233447"/>
          <w:sz w:val="20"/>
        </w:rPr>
        <w:t>Dashboard aggregates for the current month, prior-month comparisons, category totals, trends, weekday behavior, largest purchase, and a 365-day spending heatmap.</w:t>
      </w:r>
    </w:p>
    <w:p>
      <w:pPr>
        <w:keepLines w:val="0"/>
        <w:numPr>
          <w:ilvl w:val="0"/>
          <w:numId w:val="8"/>
        </w:numPr>
        <w:spacing w:after="50" w:line="278" w:lineRule="auto"/>
      </w:pPr>
      <w:r>
        <w:rPr>
          <w:rFonts w:ascii="Helvetica Neue" w:hAnsi="Helvetica Neue"/>
          <w:i w:val="0"/>
          <w:color w:val="233447"/>
          <w:sz w:val="20"/>
        </w:rPr>
        <w:t>Emergency-fund settings, estimates, readiness scoring, insights, and what-if simulation results.</w:t>
      </w:r>
    </w:p>
    <w:p>
      <w:pPr>
        <w:keepLines w:val="0"/>
        <w:numPr>
          <w:ilvl w:val="0"/>
          <w:numId w:val="8"/>
        </w:numPr>
        <w:spacing w:after="50" w:line="278" w:lineRule="auto"/>
      </w:pPr>
      <w:r>
        <w:rPr>
          <w:rFonts w:ascii="Helvetica Neue" w:hAnsi="Helvetica Neue"/>
          <w:i w:val="0"/>
          <w:color w:val="233447"/>
          <w:sz w:val="20"/>
        </w:rPr>
        <w:t>Receipt metadata in the database and validated receipt image files on server storage.</w:t>
      </w:r>
    </w:p>
    <w:p>
      <w:pPr>
        <w:keepLines w:val="0"/>
        <w:numPr>
          <w:ilvl w:val="0"/>
          <w:numId w:val="8"/>
        </w:numPr>
        <w:spacing w:after="50" w:line="278" w:lineRule="auto"/>
      </w:pPr>
      <w:r>
        <w:rPr>
          <w:rFonts w:ascii="Helvetica Neue" w:hAnsi="Helvetica Neue"/>
          <w:i w:val="0"/>
          <w:color w:val="233447"/>
          <w:sz w:val="20"/>
        </w:rPr>
        <w:t>Per-user backup reminder preferences and versioned XLSX database backup files.</w:t>
      </w:r>
    </w:p>
    <w:p>
      <w:pPr>
        <w:keepLines w:val="0"/>
        <w:numPr>
          <w:ilvl w:val="0"/>
          <w:numId w:val="8"/>
        </w:numPr>
        <w:spacing w:after="50" w:line="278" w:lineRule="auto"/>
      </w:pPr>
      <w:r>
        <w:rPr>
          <w:rFonts w:ascii="Helvetica Neue" w:hAnsi="Helvetica Neue"/>
          <w:i w:val="0"/>
          <w:color w:val="233447"/>
          <w:sz w:val="20"/>
        </w:rPr>
        <w:t>A signed, time-limited administrator session represented by an HttpOnly cookie.</w:t>
      </w:r>
    </w:p>
    <w:p>
      <w:pPr>
        <w:spacing w:after="0"/>
      </w:pPr>
    </w:p>
    <w:p>
      <w:pPr>
        <w:pStyle w:val="Heading2"/>
        <w:keepNext/>
        <w:spacing w:before="160" w:after="90"/>
      </w:pPr>
      <w:r>
        <w:rPr>
          <w:rFonts w:ascii="Helvetica Neue" w:hAnsi="Helvetica Neue"/>
          <w:b/>
          <w:color w:val="5B7085"/>
          <w:sz w:val="21"/>
        </w:rPr>
        <w:t>What it does not currently provide</w:t>
      </w:r>
    </w:p>
    <w:p>
      <w:pPr>
        <w:keepLines w:val="0"/>
        <w:numPr>
          <w:ilvl w:val="0"/>
          <w:numId w:val="9"/>
        </w:numPr>
        <w:spacing w:after="50" w:line="278" w:lineRule="auto"/>
      </w:pPr>
      <w:r>
        <w:rPr>
          <w:rFonts w:ascii="Helvetica Neue" w:hAnsi="Helvetica Neue"/>
          <w:i w:val="0"/>
          <w:color w:val="233447"/>
          <w:sz w:val="20"/>
        </w:rPr>
        <w:t>Multiple independent user accounts, roles, household sharing, or tenant isolation.</w:t>
      </w:r>
    </w:p>
    <w:p>
      <w:pPr>
        <w:keepLines w:val="0"/>
        <w:numPr>
          <w:ilvl w:val="0"/>
          <w:numId w:val="9"/>
        </w:numPr>
        <w:spacing w:after="50" w:line="278" w:lineRule="auto"/>
      </w:pPr>
      <w:r>
        <w:rPr>
          <w:rFonts w:ascii="Helvetica Neue" w:hAnsi="Helvetica Neue"/>
          <w:i w:val="0"/>
          <w:color w:val="233447"/>
          <w:sz w:val="20"/>
        </w:rPr>
        <w:t>Bank synchronization, card-provider integrations, budgeting envelopes, income tracking, or investment accounting.</w:t>
      </w:r>
    </w:p>
    <w:p>
      <w:pPr>
        <w:keepLines w:val="0"/>
        <w:numPr>
          <w:ilvl w:val="0"/>
          <w:numId w:val="9"/>
        </w:numPr>
        <w:spacing w:after="50" w:line="278" w:lineRule="auto"/>
      </w:pPr>
      <w:r>
        <w:rPr>
          <w:rFonts w:ascii="Helvetica Neue" w:hAnsi="Helvetica Neue"/>
          <w:i w:val="0"/>
          <w:color w:val="233447"/>
          <w:sz w:val="20"/>
        </w:rPr>
        <w:t>A durable job queue, distributed scheduler, centralized metrics platform, or multi-instance coordination.</w:t>
      </w:r>
    </w:p>
    <w:p>
      <w:pPr>
        <w:keepLines w:val="0"/>
        <w:numPr>
          <w:ilvl w:val="0"/>
          <w:numId w:val="9"/>
        </w:numPr>
        <w:spacing w:after="50" w:line="278" w:lineRule="auto"/>
      </w:pPr>
      <w:r>
        <w:rPr>
          <w:rFonts w:ascii="Helvetica Neue" w:hAnsi="Helvetica Neue"/>
          <w:i w:val="0"/>
          <w:color w:val="233447"/>
          <w:sz w:val="20"/>
        </w:rPr>
        <w:t>Permanent receipt storage: receipts expire after seven days by design.</w:t>
      </w:r>
    </w:p>
    <w:p>
      <w:pPr>
        <w:keepLines w:val="0"/>
        <w:numPr>
          <w:ilvl w:val="0"/>
          <w:numId w:val="9"/>
        </w:numPr>
        <w:spacing w:after="50" w:line="278" w:lineRule="auto"/>
      </w:pPr>
      <w:r>
        <w:rPr>
          <w:rFonts w:ascii="Helvetica Neue" w:hAnsi="Helvetica Neue"/>
          <w:i w:val="0"/>
          <w:color w:val="233447"/>
          <w:sz w:val="20"/>
        </w:rPr>
        <w:t>Automatic cloud backup: backups are created and stored manually by the user.</w:t>
      </w:r>
    </w:p>
    <w:p>
      <w:pPr>
        <w:spacing w:after="0"/>
      </w:pPr>
    </w:p>
    <w:p>
      <w:pPr>
        <w:spacing w:before="80" w:after="140" w:line="269" w:lineRule="auto"/>
        <w:ind w:left="173" w:right="173"/>
        <w:shd w:fill="EEF5FA"/>
        <w:pBdr>
          <w:left w:val="single" w:sz="16" w:space="10" w:color="2D74A8"/>
        </w:pBdr>
      </w:pPr>
      <w:r>
        <w:rPr>
          <w:rFonts w:ascii="Helvetica Neue" w:hAnsi="Helvetica Neue"/>
          <w:b/>
          <w:color w:val="082A4A"/>
          <w:sz w:val="19"/>
        </w:rPr>
        <w:t xml:space="preserve">Current-code note  </w:t>
      </w:r>
      <w:r>
        <w:rPr>
          <w:rFonts w:ascii="Helvetica Neue" w:hAnsi="Helvetica Neue"/>
          <w:color w:val="233447"/>
          <w:sz w:val="19"/>
        </w:rPr>
        <w:t>Some older project rules describe JSX and better-sqlite3. The live repository uses TypeScript/TSX and @libsql/client, and the server loads development settings from server/.env. For runtime behavior, follow the current code and package files documented here.</w:t>
      </w:r>
    </w:p>
    <w:p>
      <w:pPr>
        <w:pStyle w:val="Heading1"/>
        <w:keepNext/>
        <w:pageBreakBefore w:val="0"/>
        <w:spacing w:before="200" w:after="130"/>
      </w:pPr>
      <w:r>
        <w:rPr>
          <w:rFonts w:ascii="Helvetica Neue" w:hAnsi="Helvetica Neue"/>
          <w:b/>
          <w:color w:val="082A4A"/>
          <w:sz w:val="27"/>
        </w:rPr>
        <w:t>3.  Technology and Beginner Glossary</w:t>
      </w:r>
    </w:p>
    <w:p>
      <w:pPr>
        <w:pStyle w:val="Heading2"/>
        <w:keepNext/>
        <w:spacing w:before="160" w:after="90"/>
      </w:pPr>
      <w:r>
        <w:rPr>
          <w:rFonts w:ascii="Helvetica Neue" w:hAnsi="Helvetica Neue"/>
          <w:b/>
          <w:color w:val="5B7085"/>
          <w:sz w:val="21"/>
        </w:rPr>
        <w:t>Current stack</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1700"/>
        <w:gridCol w:w="2800"/>
        <w:gridCol w:w="5724"/>
      </w:tblGrid>
      <w:tr>
        <w:trPr>
          <w:tblHeader w:val="true"/>
        </w:trPr>
        <w:tc>
          <w:tcPr>
            <w:tcW w:type="dxa" w:w="17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7"/>
              </w:rPr>
              <w:t>Layer</w:t>
            </w:r>
          </w:p>
        </w:tc>
        <w:tc>
          <w:tcPr>
            <w:tcW w:type="dxa" w:w="28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7"/>
              </w:rPr>
              <w:t>Technology</w:t>
            </w:r>
          </w:p>
        </w:tc>
        <w:tc>
          <w:tcPr>
            <w:tcW w:type="dxa" w:w="572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7"/>
              </w:rPr>
              <w:t>Role in this project</w:t>
            </w:r>
          </w:p>
        </w:tc>
      </w:tr>
      <w:tr>
        <w:trPr>
          <w:cantSplit/>
        </w:trPr>
        <w:tc>
          <w:tcPr>
            <w:tcW w:type="dxa" w:w="17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Browser</w:t>
            </w:r>
          </w:p>
        </w:tc>
        <w:tc>
          <w:tcPr>
            <w:tcW w:type="dxa" w:w="28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React 19 + TypeScript/TSX</w:t>
            </w:r>
          </w:p>
        </w:tc>
        <w:tc>
          <w:tcPr>
            <w:tcW w:type="dxa" w:w="57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Renders screens and keeps interactive state</w:t>
            </w:r>
          </w:p>
        </w:tc>
      </w:tr>
      <w:tr>
        <w:trPr>
          <w:cantSplit/>
        </w:trPr>
        <w:tc>
          <w:tcPr>
            <w:tcW w:type="dxa" w:w="17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Build tool</w:t>
            </w:r>
          </w:p>
        </w:tc>
        <w:tc>
          <w:tcPr>
            <w:tcW w:type="dxa" w:w="28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Vite 8</w:t>
            </w:r>
          </w:p>
        </w:tc>
        <w:tc>
          <w:tcPr>
            <w:tcW w:type="dxa" w:w="57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Runs the development client and creates the production bundle</w:t>
            </w:r>
          </w:p>
        </w:tc>
      </w:tr>
      <w:tr>
        <w:trPr>
          <w:cantSplit/>
        </w:trPr>
        <w:tc>
          <w:tcPr>
            <w:tcW w:type="dxa" w:w="17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Visuals</w:t>
            </w:r>
          </w:p>
        </w:tc>
        <w:tc>
          <w:tcPr>
            <w:tcW w:type="dxa" w:w="28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Chart.js + react-chartjs-2</w:t>
            </w:r>
          </w:p>
        </w:tc>
        <w:tc>
          <w:tcPr>
            <w:tcW w:type="dxa" w:w="57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Renders dashboard and emergency-fund charts</w:t>
            </w:r>
          </w:p>
        </w:tc>
      </w:tr>
      <w:tr>
        <w:trPr>
          <w:cantSplit/>
        </w:trPr>
        <w:tc>
          <w:tcPr>
            <w:tcW w:type="dxa" w:w="17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Styling</w:t>
            </w:r>
          </w:p>
        </w:tc>
        <w:tc>
          <w:tcPr>
            <w:tcW w:type="dxa" w:w="28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Vanilla CSS + Lucide</w:t>
            </w:r>
          </w:p>
        </w:tc>
        <w:tc>
          <w:tcPr>
            <w:tcW w:type="dxa" w:w="57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Provides neomorphic Soft UI and icons</w:t>
            </w:r>
          </w:p>
        </w:tc>
      </w:tr>
      <w:tr>
        <w:trPr>
          <w:cantSplit/>
        </w:trPr>
        <w:tc>
          <w:tcPr>
            <w:tcW w:type="dxa" w:w="17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API</w:t>
            </w:r>
          </w:p>
        </w:tc>
        <w:tc>
          <w:tcPr>
            <w:tcW w:type="dxa" w:w="28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Node.js + Express 4</w:t>
            </w:r>
          </w:p>
        </w:tc>
        <w:tc>
          <w:tcPr>
            <w:tcW w:type="dxa" w:w="57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Exposes JSON, file-upload, image, and XLSX endpoints</w:t>
            </w:r>
          </w:p>
        </w:tc>
      </w:tr>
      <w:tr>
        <w:trPr>
          <w:cantSplit/>
        </w:trPr>
        <w:tc>
          <w:tcPr>
            <w:tcW w:type="dxa" w:w="17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Database</w:t>
            </w:r>
          </w:p>
        </w:tc>
        <w:tc>
          <w:tcPr>
            <w:tcW w:type="dxa" w:w="28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@libsql/client</w:t>
            </w:r>
          </w:p>
        </w:tc>
        <w:tc>
          <w:tcPr>
            <w:tcW w:type="dxa" w:w="57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Uses a local SQLite-compatible file in development and Turso in production</w:t>
            </w:r>
          </w:p>
        </w:tc>
      </w:tr>
      <w:tr>
        <w:trPr>
          <w:cantSplit/>
        </w:trPr>
        <w:tc>
          <w:tcPr>
            <w:tcW w:type="dxa" w:w="17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Security</w:t>
            </w:r>
          </w:p>
        </w:tc>
        <w:tc>
          <w:tcPr>
            <w:tcW w:type="dxa" w:w="28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bcrypt, Helmet, CORS, express-rate-limit</w:t>
            </w:r>
          </w:p>
        </w:tc>
        <w:tc>
          <w:tcPr>
            <w:tcW w:type="dxa" w:w="57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Protects credentials, browser boundaries, and abusive endpoints</w:t>
            </w:r>
          </w:p>
        </w:tc>
      </w:tr>
      <w:tr>
        <w:trPr>
          <w:cantSplit/>
        </w:trPr>
        <w:tc>
          <w:tcPr>
            <w:tcW w:type="dxa" w:w="17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Files</w:t>
            </w:r>
          </w:p>
        </w:tc>
        <w:tc>
          <w:tcPr>
            <w:tcW w:type="dxa" w:w="28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Multer + ExcelJS</w:t>
            </w:r>
          </w:p>
        </w:tc>
        <w:tc>
          <w:tcPr>
            <w:tcW w:type="dxa" w:w="57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Validates uploads and builds/imports XLSX backups</w:t>
            </w:r>
          </w:p>
        </w:tc>
      </w:tr>
    </w:tbl>
    <w:p>
      <w:pPr>
        <w:spacing w:after="20"/>
      </w:pPr>
    </w:p>
    <w:p>
      <w:pPr>
        <w:pStyle w:val="Heading2"/>
        <w:keepNext/>
        <w:spacing w:before="160" w:after="90"/>
      </w:pPr>
      <w:r>
        <w:rPr>
          <w:rFonts w:ascii="Helvetica Neue" w:hAnsi="Helvetica Neue"/>
          <w:b/>
          <w:color w:val="5B7085"/>
          <w:sz w:val="21"/>
        </w:rPr>
        <w:t>Terms you will see repeatedly</w:t>
      </w:r>
    </w:p>
    <w:p>
      <w:pPr>
        <w:spacing w:after="70" w:line="269" w:lineRule="auto"/>
      </w:pPr>
      <w:r>
        <w:rPr>
          <w:rFonts w:ascii="Helvetica Neue" w:hAnsi="Helvetica Neue"/>
          <w:b/>
          <w:color w:val="082A4A"/>
          <w:sz w:val="20"/>
        </w:rPr>
        <w:t xml:space="preserve">Component: </w:t>
      </w:r>
      <w:r>
        <w:rPr>
          <w:rFonts w:ascii="Helvetica Neue" w:hAnsi="Helvetica Neue"/>
          <w:color w:val="233447"/>
          <w:sz w:val="20"/>
        </w:rPr>
        <w:t>A React function that renders a piece of the interface, such as ExpenseForm or Dashboard.</w:t>
      </w:r>
    </w:p>
    <w:p>
      <w:pPr>
        <w:spacing w:after="70" w:line="269" w:lineRule="auto"/>
      </w:pPr>
      <w:r>
        <w:rPr>
          <w:rFonts w:ascii="Helvetica Neue" w:hAnsi="Helvetica Neue"/>
          <w:b/>
          <w:color w:val="082A4A"/>
          <w:sz w:val="20"/>
        </w:rPr>
        <w:t xml:space="preserve">Hook: </w:t>
      </w:r>
      <w:r>
        <w:rPr>
          <w:rFonts w:ascii="Helvetica Neue" w:hAnsi="Helvetica Neue"/>
          <w:color w:val="233447"/>
          <w:sz w:val="20"/>
        </w:rPr>
        <w:t>A React function beginning with use that owns feature state, loading/error state, and refresh behavior.</w:t>
      </w:r>
    </w:p>
    <w:p>
      <w:pPr>
        <w:spacing w:after="70" w:line="269" w:lineRule="auto"/>
      </w:pPr>
      <w:r>
        <w:rPr>
          <w:rFonts w:ascii="Helvetica Neue" w:hAnsi="Helvetica Neue"/>
          <w:b/>
          <w:color w:val="082A4A"/>
          <w:sz w:val="20"/>
        </w:rPr>
        <w:t xml:space="preserve">API client: </w:t>
      </w:r>
      <w:r>
        <w:rPr>
          <w:rFonts w:ascii="Helvetica Neue" w:hAnsi="Helvetica Neue"/>
          <w:color w:val="233447"/>
          <w:sz w:val="20"/>
        </w:rPr>
        <w:t>The browser-side services/api.ts module that turns feature actions into HTTP requests.</w:t>
      </w:r>
    </w:p>
    <w:p>
      <w:pPr>
        <w:spacing w:after="70" w:line="269" w:lineRule="auto"/>
      </w:pPr>
      <w:r>
        <w:rPr>
          <w:rFonts w:ascii="Helvetica Neue" w:hAnsi="Helvetica Neue"/>
          <w:b/>
          <w:color w:val="082A4A"/>
          <w:sz w:val="20"/>
        </w:rPr>
        <w:t xml:space="preserve">Route: </w:t>
      </w:r>
      <w:r>
        <w:rPr>
          <w:rFonts w:ascii="Helvetica Neue" w:hAnsi="Helvetica Neue"/>
          <w:color w:val="233447"/>
          <w:sz w:val="20"/>
        </w:rPr>
        <w:t>An Express handler for one HTTP path and method. Routes validate untrusted request data.</w:t>
      </w:r>
    </w:p>
    <w:p>
      <w:pPr>
        <w:spacing w:after="70" w:line="269" w:lineRule="auto"/>
      </w:pPr>
      <w:r>
        <w:rPr>
          <w:rFonts w:ascii="Helvetica Neue" w:hAnsi="Helvetica Neue"/>
          <w:b/>
          <w:color w:val="082A4A"/>
          <w:sz w:val="20"/>
        </w:rPr>
        <w:t xml:space="preserve">Service: </w:t>
      </w:r>
      <w:r>
        <w:rPr>
          <w:rFonts w:ascii="Helvetica Neue" w:hAnsi="Helvetica Neue"/>
          <w:color w:val="233447"/>
          <w:sz w:val="20"/>
        </w:rPr>
        <w:t>Reusable server-side business logic shared by routes or background jobs.</w:t>
      </w:r>
    </w:p>
    <w:p>
      <w:pPr>
        <w:spacing w:after="70" w:line="269" w:lineRule="auto"/>
      </w:pPr>
      <w:r>
        <w:rPr>
          <w:rFonts w:ascii="Helvetica Neue" w:hAnsi="Helvetica Neue"/>
          <w:b/>
          <w:color w:val="082A4A"/>
          <w:sz w:val="20"/>
        </w:rPr>
        <w:t xml:space="preserve">Middleware: </w:t>
      </w:r>
      <w:r>
        <w:rPr>
          <w:rFonts w:ascii="Helvetica Neue" w:hAnsi="Helvetica Neue"/>
          <w:color w:val="233447"/>
          <w:sz w:val="20"/>
        </w:rPr>
        <w:t>Server logic that runs before a route, such as CORS, rate limiting, origin checks, or authentication.</w:t>
      </w:r>
    </w:p>
    <w:p>
      <w:pPr>
        <w:spacing w:after="70" w:line="269" w:lineRule="auto"/>
      </w:pPr>
      <w:r>
        <w:rPr>
          <w:rFonts w:ascii="Helvetica Neue" w:hAnsi="Helvetica Neue"/>
          <w:b/>
          <w:color w:val="082A4A"/>
          <w:sz w:val="20"/>
        </w:rPr>
        <w:t xml:space="preserve">Prepared statement: </w:t>
      </w:r>
      <w:r>
        <w:rPr>
          <w:rFonts w:ascii="Helvetica Neue" w:hAnsi="Helvetica Neue"/>
          <w:color w:val="233447"/>
          <w:sz w:val="20"/>
        </w:rPr>
        <w:t>SQL plus separately supplied arguments. This prevents user text from becoming executable SQL.</w:t>
      </w:r>
    </w:p>
    <w:p>
      <w:pPr>
        <w:spacing w:after="70" w:line="269" w:lineRule="auto"/>
      </w:pPr>
      <w:r>
        <w:rPr>
          <w:rFonts w:ascii="Helvetica Neue" w:hAnsi="Helvetica Neue"/>
          <w:b/>
          <w:color w:val="082A4A"/>
          <w:sz w:val="20"/>
        </w:rPr>
        <w:t xml:space="preserve">Cookie session: </w:t>
      </w:r>
      <w:r>
        <w:rPr>
          <w:rFonts w:ascii="Helvetica Neue" w:hAnsi="Helvetica Neue"/>
          <w:color w:val="233447"/>
          <w:sz w:val="20"/>
        </w:rPr>
        <w:t>A signed value stored by the browser and sent automatically with requests; the cookie is not readable by client JavaScript.</w:t>
      </w:r>
    </w:p>
    <w:p>
      <w:pPr>
        <w:spacing w:after="70" w:line="269" w:lineRule="auto"/>
      </w:pPr>
      <w:r>
        <w:rPr>
          <w:rFonts w:ascii="Helvetica Neue" w:hAnsi="Helvetica Neue"/>
          <w:b/>
          <w:color w:val="082A4A"/>
          <w:sz w:val="20"/>
        </w:rPr>
        <w:t xml:space="preserve">LibSQL: </w:t>
      </w:r>
      <w:r>
        <w:rPr>
          <w:rFonts w:ascii="Helvetica Neue" w:hAnsi="Helvetica Neue"/>
          <w:color w:val="233447"/>
          <w:sz w:val="20"/>
        </w:rPr>
        <w:t>A SQLite-compatible database protocol used locally as a file and remotely through Turso.</w:t>
      </w:r>
    </w:p>
    <w:p>
      <w:pPr>
        <w:spacing w:after="70" w:line="269" w:lineRule="auto"/>
      </w:pPr>
      <w:r>
        <w:rPr>
          <w:rFonts w:ascii="Helvetica Neue" w:hAnsi="Helvetica Neue"/>
          <w:b/>
          <w:color w:val="082A4A"/>
          <w:sz w:val="20"/>
        </w:rPr>
        <w:t xml:space="preserve">UTC+8: </w:t>
      </w:r>
      <w:r>
        <w:rPr>
          <w:rFonts w:ascii="Helvetica Neue" w:hAnsi="Helvetica Neue"/>
          <w:color w:val="233447"/>
          <w:sz w:val="20"/>
        </w:rPr>
        <w:t>The application's canonical business timezone and timestamp offset, written as +08:00.</w:t>
      </w:r>
    </w:p>
    <w:p>
      <w:pPr>
        <w:pStyle w:val="Heading1"/>
        <w:keepNext/>
        <w:pageBreakBefore w:val="0"/>
        <w:spacing w:before="200" w:after="130"/>
      </w:pPr>
      <w:r>
        <w:rPr>
          <w:rFonts w:ascii="Helvetica Neue" w:hAnsi="Helvetica Neue"/>
          <w:b/>
          <w:color w:val="082A4A"/>
          <w:sz w:val="27"/>
        </w:rPr>
        <w:t>4.  Repository Tour</w:t>
      </w:r>
    </w:p>
    <w:p>
      <w:pPr>
        <w:keepLines w:val="0"/>
        <w:spacing w:after="110" w:line="278" w:lineRule="auto"/>
      </w:pPr>
      <w:r>
        <w:rPr>
          <w:rFonts w:ascii="Helvetica Neue" w:hAnsi="Helvetica Neue"/>
          <w:i w:val="0"/>
          <w:color w:val="233447"/>
          <w:sz w:val="20"/>
        </w:rPr>
        <w:t>The repository contains two independently installed applications: client for the browser and server for the API. There is no root package.json, so commands must be run from the correct subdirectory.</w:t>
      </w:r>
    </w:p>
    <w:p>
      <w:pPr>
        <w:pStyle w:val="Heading2"/>
        <w:keepNext/>
        <w:spacing w:before="160" w:after="90"/>
      </w:pPr>
      <w:r>
        <w:rPr>
          <w:rFonts w:ascii="Helvetica Neue" w:hAnsi="Helvetica Neue"/>
          <w:b/>
          <w:color w:val="5B7085"/>
          <w:sz w:val="21"/>
        </w:rPr>
        <w:t>Client layout</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2750"/>
        <w:gridCol w:w="4450"/>
        <w:gridCol w:w="3024"/>
      </w:tblGrid>
      <w:tr>
        <w:trPr>
          <w:tblHeader w:val="true"/>
        </w:trPr>
        <w:tc>
          <w:tcPr>
            <w:tcW w:type="dxa" w:w="275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Path</w:t>
            </w:r>
          </w:p>
        </w:tc>
        <w:tc>
          <w:tcPr>
            <w:tcW w:type="dxa" w:w="445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Responsibility</w:t>
            </w:r>
          </w:p>
        </w:tc>
        <w:tc>
          <w:tcPr>
            <w:tcW w:type="dxa" w:w="302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Start here when</w:t>
            </w:r>
          </w:p>
        </w:tc>
      </w:tr>
      <w:tr>
        <w:trPr>
          <w:cantSplit/>
        </w:trPr>
        <w:tc>
          <w:tcPr>
            <w:tcW w:type="dxa" w:w="275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client/src/main.tsx</w:t>
            </w:r>
          </w:p>
        </w:tc>
        <w:tc>
          <w:tcPr>
            <w:tcW w:type="dxa" w:w="44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Mounts React StrictMode and App</w:t>
            </w:r>
          </w:p>
        </w:tc>
        <w:tc>
          <w:tcPr>
            <w:tcW w:type="dxa" w:w="30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The browser fails before App renders</w:t>
            </w:r>
          </w:p>
        </w:tc>
      </w:tr>
      <w:tr>
        <w:trPr>
          <w:cantSplit/>
        </w:trPr>
        <w:tc>
          <w:tcPr>
            <w:tcW w:type="dxa" w:w="275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client/src/App.tsx</w:t>
            </w:r>
          </w:p>
        </w:tc>
        <w:tc>
          <w:tcPr>
            <w:tcW w:type="dxa" w:w="44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Authentication gate, tabs, feature stores, shared actions, modals, and toasts</w:t>
            </w:r>
          </w:p>
        </w:tc>
        <w:tc>
          <w:tcPr>
            <w:tcW w:type="dxa" w:w="30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 feature needs coordination across screens</w:t>
            </w:r>
          </w:p>
        </w:tc>
      </w:tr>
      <w:tr>
        <w:trPr>
          <w:cantSplit/>
        </w:trPr>
        <w:tc>
          <w:tcPr>
            <w:tcW w:type="dxa" w:w="275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client/src/components/</w:t>
            </w:r>
          </w:p>
        </w:tc>
        <w:tc>
          <w:tcPr>
            <w:tcW w:type="dxa" w:w="44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Screens and reusable visual components</w:t>
            </w:r>
          </w:p>
        </w:tc>
        <w:tc>
          <w:tcPr>
            <w:tcW w:type="dxa" w:w="30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Changing what the user sees or submits</w:t>
            </w:r>
          </w:p>
        </w:tc>
      </w:tr>
      <w:tr>
        <w:trPr>
          <w:cantSplit/>
        </w:trPr>
        <w:tc>
          <w:tcPr>
            <w:tcW w:type="dxa" w:w="275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client/src/hooks/</w:t>
            </w:r>
          </w:p>
        </w:tc>
        <w:tc>
          <w:tcPr>
            <w:tcW w:type="dxa" w:w="44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Feature data, loading/error state, mutations, and refresh logic</w:t>
            </w:r>
          </w:p>
        </w:tc>
        <w:tc>
          <w:tcPr>
            <w:tcW w:type="dxa" w:w="30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Changing how browser state is loaded or synchronized</w:t>
            </w:r>
          </w:p>
        </w:tc>
      </w:tr>
      <w:tr>
        <w:trPr>
          <w:cantSplit/>
        </w:trPr>
        <w:tc>
          <w:tcPr>
            <w:tcW w:type="dxa" w:w="275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client/src/services/api.ts</w:t>
            </w:r>
          </w:p>
        </w:tc>
        <w:tc>
          <w:tcPr>
            <w:tcW w:type="dxa" w:w="44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All browser HTTP calls and API error parsing</w:t>
            </w:r>
          </w:p>
        </w:tc>
        <w:tc>
          <w:tcPr>
            <w:tcW w:type="dxa" w:w="30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Adding or changing an endpoint contract</w:t>
            </w:r>
          </w:p>
        </w:tc>
      </w:tr>
      <w:tr>
        <w:trPr>
          <w:cantSplit/>
        </w:trPr>
        <w:tc>
          <w:tcPr>
            <w:tcW w:type="dxa" w:w="275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client/src/types.ts</w:t>
            </w:r>
          </w:p>
        </w:tc>
        <w:tc>
          <w:tcPr>
            <w:tcW w:type="dxa" w:w="44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Shared client models and allowed values</w:t>
            </w:r>
          </w:p>
        </w:tc>
        <w:tc>
          <w:tcPr>
            <w:tcW w:type="dxa" w:w="30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 response or form shape changes</w:t>
            </w:r>
          </w:p>
        </w:tc>
      </w:tr>
      <w:tr>
        <w:trPr>
          <w:cantSplit/>
        </w:trPr>
        <w:tc>
          <w:tcPr>
            <w:tcW w:type="dxa" w:w="275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client/src/utils/</w:t>
            </w:r>
          </w:p>
        </w:tc>
        <w:tc>
          <w:tcPr>
            <w:tcW w:type="dxa" w:w="44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Formatting, chart themes, analytics transforms, category icons, and errors</w:t>
            </w:r>
          </w:p>
        </w:tc>
        <w:tc>
          <w:tcPr>
            <w:tcW w:type="dxa" w:w="30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The same pure transformation is used in several components</w:t>
            </w:r>
          </w:p>
        </w:tc>
      </w:tr>
      <w:tr>
        <w:trPr>
          <w:cantSplit/>
        </w:trPr>
        <w:tc>
          <w:tcPr>
            <w:tcW w:type="dxa" w:w="275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client/src/App.css</w:t>
            </w:r>
          </w:p>
        </w:tc>
        <w:tc>
          <w:tcPr>
            <w:tcW w:type="dxa" w:w="44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Application-specific neomorphic layout and components</w:t>
            </w:r>
          </w:p>
        </w:tc>
        <w:tc>
          <w:tcPr>
            <w:tcW w:type="dxa" w:w="30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Changing established UI styling</w:t>
            </w:r>
          </w:p>
        </w:tc>
      </w:tr>
      <w:tr>
        <w:trPr>
          <w:cantSplit/>
        </w:trPr>
        <w:tc>
          <w:tcPr>
            <w:tcW w:type="dxa" w:w="275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client/src/index.css</w:t>
            </w:r>
          </w:p>
        </w:tc>
        <w:tc>
          <w:tcPr>
            <w:tcW w:type="dxa" w:w="44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Global variables, reset, and root styling</w:t>
            </w:r>
          </w:p>
        </w:tc>
        <w:tc>
          <w:tcPr>
            <w:tcW w:type="dxa" w:w="30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Changing global theme tokens</w:t>
            </w:r>
          </w:p>
        </w:tc>
      </w:tr>
    </w:tbl>
    <w:p>
      <w:pPr>
        <w:spacing w:after="20"/>
      </w:pPr>
    </w:p>
    <w:p>
      <w:pPr>
        <w:pStyle w:val="Heading2"/>
        <w:keepNext/>
        <w:spacing w:before="160" w:after="90"/>
      </w:pPr>
      <w:r>
        <w:rPr>
          <w:rFonts w:ascii="Helvetica Neue" w:hAnsi="Helvetica Neue"/>
          <w:b/>
          <w:color w:val="5B7085"/>
          <w:sz w:val="21"/>
        </w:rPr>
        <w:t>Server layout</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2800"/>
        <w:gridCol w:w="4700"/>
        <w:gridCol w:w="2724"/>
      </w:tblGrid>
      <w:tr>
        <w:trPr>
          <w:tblHeader w:val="true"/>
        </w:trPr>
        <w:tc>
          <w:tcPr>
            <w:tcW w:type="dxa" w:w="28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Path</w:t>
            </w:r>
          </w:p>
        </w:tc>
        <w:tc>
          <w:tcPr>
            <w:tcW w:type="dxa" w:w="47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Responsibility</w:t>
            </w:r>
          </w:p>
        </w:tc>
        <w:tc>
          <w:tcPr>
            <w:tcW w:type="dxa" w:w="272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Start here when</w:t>
            </w:r>
          </w:p>
        </w:tc>
      </w:tr>
      <w:tr>
        <w:trPr>
          <w:cantSplit/>
        </w:trPr>
        <w:tc>
          <w:tcPr>
            <w:tcW w:type="dxa" w:w="28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server/server.js</w:t>
            </w:r>
          </w:p>
        </w:tc>
        <w:tc>
          <w:tcPr>
            <w:tcW w:type="dxa" w:w="47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Startup, global middleware, route mounting, schedulers, and listening</w:t>
            </w:r>
          </w:p>
        </w:tc>
        <w:tc>
          <w:tcPr>
            <w:tcW w:type="dxa" w:w="27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Adding a route group or startup concern</w:t>
            </w:r>
          </w:p>
        </w:tc>
      </w:tr>
      <w:tr>
        <w:trPr>
          <w:cantSplit/>
        </w:trPr>
        <w:tc>
          <w:tcPr>
            <w:tcW w:type="dxa" w:w="28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server/config/env.js</w:t>
            </w:r>
          </w:p>
        </w:tc>
        <w:tc>
          <w:tcPr>
            <w:tcW w:type="dxa" w:w="47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Selects and loads the environment file</w:t>
            </w:r>
          </w:p>
        </w:tc>
        <w:tc>
          <w:tcPr>
            <w:tcW w:type="dxa" w:w="27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Environment selection is wrong</w:t>
            </w:r>
          </w:p>
        </w:tc>
      </w:tr>
      <w:tr>
        <w:trPr>
          <w:cantSplit/>
        </w:trPr>
        <w:tc>
          <w:tcPr>
            <w:tcW w:type="dxa" w:w="28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server/middleware/security.js</w:t>
            </w:r>
          </w:p>
        </w:tc>
        <w:tc>
          <w:tcPr>
            <w:tcW w:type="dxa" w:w="47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CORS, trusted origins, security headers, rate limits, and proxy trust</w:t>
            </w:r>
          </w:p>
        </w:tc>
        <w:tc>
          <w:tcPr>
            <w:tcW w:type="dxa" w:w="27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Changing a security boundary</w:t>
            </w:r>
          </w:p>
        </w:tc>
      </w:tr>
      <w:tr>
        <w:trPr>
          <w:cantSplit/>
        </w:trPr>
        <w:tc>
          <w:tcPr>
            <w:tcW w:type="dxa" w:w="28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server/routes/</w:t>
            </w:r>
          </w:p>
        </w:tc>
        <w:tc>
          <w:tcPr>
            <w:tcW w:type="dxa" w:w="47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HTTP validation, status codes, and response shapes</w:t>
            </w:r>
          </w:p>
        </w:tc>
        <w:tc>
          <w:tcPr>
            <w:tcW w:type="dxa" w:w="27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Changing an API endpoint</w:t>
            </w:r>
          </w:p>
        </w:tc>
      </w:tr>
      <w:tr>
        <w:trPr>
          <w:cantSplit/>
        </w:trPr>
        <w:tc>
          <w:tcPr>
            <w:tcW w:type="dxa" w:w="28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server/services/</w:t>
            </w:r>
          </w:p>
        </w:tc>
        <w:tc>
          <w:tcPr>
            <w:tcW w:type="dxa" w:w="47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Money, categories, recurring jobs, emergency calculations, backups, cleanup, and reset</w:t>
            </w:r>
          </w:p>
        </w:tc>
        <w:tc>
          <w:tcPr>
            <w:tcW w:type="dxa" w:w="27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Changing domain behavior used in more than one place</w:t>
            </w:r>
          </w:p>
        </w:tc>
      </w:tr>
      <w:tr>
        <w:trPr>
          <w:cantSplit/>
        </w:trPr>
        <w:tc>
          <w:tcPr>
            <w:tcW w:type="dxa" w:w="28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server/db/database.js</w:t>
            </w:r>
          </w:p>
        </w:tc>
        <w:tc>
          <w:tcPr>
            <w:tcW w:type="dxa" w:w="47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Creates the LibSQL client and initializes/seeds schema</w:t>
            </w:r>
          </w:p>
        </w:tc>
        <w:tc>
          <w:tcPr>
            <w:tcW w:type="dxa" w:w="27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Changing database selection or startup</w:t>
            </w:r>
          </w:p>
        </w:tc>
      </w:tr>
      <w:tr>
        <w:trPr>
          <w:cantSplit/>
        </w:trPr>
        <w:tc>
          <w:tcPr>
            <w:tcW w:type="dxa" w:w="28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server/db/schema.sql</w:t>
            </w:r>
          </w:p>
        </w:tc>
        <w:tc>
          <w:tcPr>
            <w:tcW w:type="dxa" w:w="47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Tables, indexes, constraints, defaults, and migrations</w:t>
            </w:r>
          </w:p>
        </w:tc>
        <w:tc>
          <w:tcPr>
            <w:tcW w:type="dxa" w:w="27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Persistent data changes</w:t>
            </w:r>
          </w:p>
        </w:tc>
      </w:tr>
      <w:tr>
        <w:trPr>
          <w:cantSplit/>
        </w:trPr>
        <w:tc>
          <w:tcPr>
            <w:tcW w:type="dxa" w:w="28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server/utils/</w:t>
            </w:r>
          </w:p>
        </w:tc>
        <w:tc>
          <w:tcPr>
            <w:tcW w:type="dxa" w:w="47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Authentication, UTC+8 time handling, and safe receipt paths</w:t>
            </w:r>
          </w:p>
        </w:tc>
        <w:tc>
          <w:tcPr>
            <w:tcW w:type="dxa" w:w="27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Changing a shared security or time invariant</w:t>
            </w:r>
          </w:p>
        </w:tc>
      </w:tr>
      <w:tr>
        <w:trPr>
          <w:cantSplit/>
        </w:trPr>
        <w:tc>
          <w:tcPr>
            <w:tcW w:type="dxa" w:w="28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server/tests/</w:t>
            </w:r>
          </w:p>
        </w:tc>
        <w:tc>
          <w:tcPr>
            <w:tcW w:type="dxa" w:w="47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Focused security, reset, environment, and analytics tests</w:t>
            </w:r>
          </w:p>
        </w:tc>
        <w:tc>
          <w:tcPr>
            <w:tcW w:type="dxa" w:w="27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Verifying a risky server behavior</w:t>
            </w:r>
          </w:p>
        </w:tc>
      </w:tr>
    </w:tbl>
    <w:p>
      <w:pPr>
        <w:spacing w:after="20"/>
      </w:pPr>
    </w:p>
    <w:p>
      <w:pPr>
        <w:pStyle w:val="Heading2"/>
        <w:keepNext/>
        <w:spacing w:before="160" w:after="90"/>
      </w:pPr>
      <w:r>
        <w:rPr>
          <w:rFonts w:ascii="Helvetica Neue" w:hAnsi="Helvetica Neue"/>
          <w:b/>
          <w:color w:val="5B7085"/>
          <w:sz w:val="21"/>
        </w:rPr>
        <w:t>Representative dependency chains</w:t>
      </w:r>
    </w:p>
    <w:p>
      <w:pPr>
        <w:keepLines w:val="0"/>
        <w:numPr>
          <w:ilvl w:val="0"/>
          <w:numId w:val="10"/>
        </w:numPr>
        <w:spacing w:after="50" w:line="278" w:lineRule="auto"/>
      </w:pPr>
      <w:r>
        <w:rPr>
          <w:rFonts w:ascii="Helvetica Neue" w:hAnsi="Helvetica Neue"/>
          <w:i w:val="0"/>
          <w:color w:val="233447"/>
          <w:sz w:val="20"/>
        </w:rPr>
        <w:t>Sign in: LoginPage → api.ts → auth route → auth utility → app_metadata.</w:t>
      </w:r>
    </w:p>
    <w:p>
      <w:pPr>
        <w:keepLines w:val="0"/>
        <w:numPr>
          <w:ilvl w:val="0"/>
          <w:numId w:val="10"/>
        </w:numPr>
        <w:spacing w:after="50" w:line="278" w:lineRule="auto"/>
      </w:pPr>
      <w:r>
        <w:rPr>
          <w:rFonts w:ascii="Helvetica Neue" w:hAnsi="Helvetica Neue"/>
          <w:i w:val="0"/>
          <w:color w:val="233447"/>
          <w:sz w:val="20"/>
        </w:rPr>
        <w:t>Add an expense: ExpenseForm → App → useExpenses → api.ts → expenses route → expenseRecords → exchange-rate and datetime helpers → database.</w:t>
      </w:r>
    </w:p>
    <w:p>
      <w:pPr>
        <w:keepLines w:val="0"/>
        <w:numPr>
          <w:ilvl w:val="0"/>
          <w:numId w:val="10"/>
        </w:numPr>
        <w:spacing w:after="50" w:line="278" w:lineRule="auto"/>
      </w:pPr>
      <w:r>
        <w:rPr>
          <w:rFonts w:ascii="Helvetica Neue" w:hAnsi="Helvetica Neue"/>
          <w:i w:val="0"/>
          <w:color w:val="233447"/>
          <w:sz w:val="20"/>
        </w:rPr>
        <w:t>Save a receipt: ReceiptSaver → useReceipts → receipts route → receipt metadata in the database plus a file in receipt storage.</w:t>
      </w:r>
    </w:p>
    <w:p>
      <w:pPr>
        <w:keepLines w:val="0"/>
        <w:numPr>
          <w:ilvl w:val="0"/>
          <w:numId w:val="10"/>
        </w:numPr>
        <w:spacing w:after="50" w:line="278" w:lineRule="auto"/>
      </w:pPr>
      <w:r>
        <w:rPr>
          <w:rFonts w:ascii="Helvetica Neue" w:hAnsi="Helvetica Neue"/>
          <w:i w:val="0"/>
          <w:color w:val="233447"/>
          <w:sz w:val="20"/>
        </w:rPr>
        <w:t>View the emergency fund: EmergencyFundDashboard → useEmergencyFund → emergency route and service → expense history plus emergency settings.</w:t>
      </w:r>
    </w:p>
    <w:p>
      <w:pPr>
        <w:keepLines w:val="0"/>
        <w:numPr>
          <w:ilvl w:val="0"/>
          <w:numId w:val="10"/>
        </w:numPr>
        <w:spacing w:after="50" w:line="278" w:lineRule="auto"/>
      </w:pPr>
      <w:r>
        <w:rPr>
          <w:rFonts w:ascii="Helvetica Neue" w:hAnsi="Helvetica Neue"/>
          <w:i w:val="0"/>
          <w:color w:val="233447"/>
          <w:sz w:val="20"/>
        </w:rPr>
        <w:t>Export, import, or reset: Settings and App → api.ts → backup or reset routes → transactional services → database and receipt files.</w:t>
      </w:r>
    </w:p>
    <w:p>
      <w:pPr>
        <w:spacing w:after="0"/>
      </w:pPr>
    </w:p>
    <w:p>
      <w:pPr>
        <w:pStyle w:val="Heading1"/>
        <w:keepNext/>
        <w:pageBreakBefore/>
        <w:spacing w:before="200" w:after="130"/>
      </w:pPr>
      <w:r>
        <w:rPr>
          <w:rFonts w:ascii="Helvetica Neue" w:hAnsi="Helvetica Neue"/>
          <w:b/>
          <w:color w:val="082A4A"/>
          <w:sz w:val="27"/>
        </w:rPr>
        <w:t>5.  System Architecture</w:t>
      </w:r>
    </w:p>
    <w:p>
      <w:pPr>
        <w:spacing w:before="60" w:after="60"/>
        <w:jc w:val="center"/>
      </w:pPr>
      <w:r>
        <w:drawing>
          <wp:inline>
            <wp:extent cx="6217920" cy="3039872"/>
            <wp:docPr id="1" name="Picture 1" descr="Architecture diagram showing the React client, Express API, security and domain layers, LibSQL storage, receipt files, exchange-rate provider, and XLSX backups." title="Architecture diagram showing the React client, Express API, security and domain "/>
            <wp:cNvGraphicFramePr>
              <a:graphicFrameLocks noChangeAspect="1"/>
            </wp:cNvGraphicFramePr>
            <a:graphic>
              <a:graphicData uri="http://schemas.openxmlformats.org/drawingml/2006/picture">
                <pic:pic>
                  <pic:nvPicPr>
                    <pic:cNvPr id="0" name="financial-tracker-architecture.png"/>
                    <pic:cNvPicPr/>
                  </pic:nvPicPr>
                  <pic:blipFill>
                    <a:blip r:embed="rId7"/>
                    <a:stretch>
                      <a:fillRect/>
                    </a:stretch>
                  </pic:blipFill>
                  <pic:spPr>
                    <a:xfrm>
                      <a:off x="0" y="0"/>
                      <a:ext cx="6217920" cy="3039872"/>
                    </a:xfrm>
                    <a:prstGeom prst="rect"/>
                  </pic:spPr>
                </pic:pic>
              </a:graphicData>
            </a:graphic>
          </wp:inline>
        </w:drawing>
      </w:r>
    </w:p>
    <w:p>
      <w:pPr>
        <w:keepNext w:val="0"/>
        <w:spacing w:after="140"/>
      </w:pPr>
      <w:r>
        <w:rPr>
          <w:rFonts w:ascii="Helvetica Neue" w:hAnsi="Helvetica Neue"/>
          <w:i/>
          <w:color w:val="082A4A"/>
          <w:sz w:val="18"/>
        </w:rPr>
        <w:t>Figure 1. Financial Tracker runtime architecture and trust boundaries.</w:t>
      </w:r>
    </w:p>
    <w:p>
      <w:pPr>
        <w:pStyle w:val="Heading2"/>
        <w:keepNext/>
        <w:spacing w:before="160" w:after="90"/>
      </w:pPr>
      <w:r>
        <w:rPr>
          <w:rFonts w:ascii="Helvetica Neue" w:hAnsi="Helvetica Neue"/>
          <w:b/>
          <w:color w:val="5B7085"/>
          <w:sz w:val="21"/>
        </w:rPr>
        <w:t>The normal request path</w:t>
      </w:r>
    </w:p>
    <w:p>
      <w:pPr>
        <w:keepLines w:val="0"/>
        <w:numPr>
          <w:ilvl w:val="0"/>
          <w:numId w:val="11"/>
        </w:numPr>
        <w:spacing w:after="50" w:line="278" w:lineRule="auto"/>
      </w:pPr>
      <w:r>
        <w:rPr>
          <w:rFonts w:ascii="Helvetica Neue" w:hAnsi="Helvetica Neue"/>
          <w:i w:val="0"/>
          <w:color w:val="233447"/>
          <w:sz w:val="20"/>
        </w:rPr>
        <w:t>A component captures a user action and calls an App callback or feature-hook mutation.</w:t>
      </w:r>
    </w:p>
    <w:p>
      <w:pPr>
        <w:keepLines w:val="0"/>
        <w:numPr>
          <w:ilvl w:val="0"/>
          <w:numId w:val="11"/>
        </w:numPr>
        <w:spacing w:after="50" w:line="278" w:lineRule="auto"/>
      </w:pPr>
      <w:r>
        <w:rPr>
          <w:rFonts w:ascii="Helvetica Neue" w:hAnsi="Helvetica Neue"/>
          <w:i w:val="0"/>
          <w:color w:val="233447"/>
          <w:sz w:val="20"/>
        </w:rPr>
        <w:t>The hook or App calls one function in services/api.ts. Requests include browser credentials so the session cookie is sent.</w:t>
      </w:r>
    </w:p>
    <w:p>
      <w:pPr>
        <w:keepLines w:val="0"/>
        <w:numPr>
          <w:ilvl w:val="0"/>
          <w:numId w:val="11"/>
        </w:numPr>
        <w:spacing w:after="50" w:line="278" w:lineRule="auto"/>
      </w:pPr>
      <w:r>
        <w:rPr>
          <w:rFonts w:ascii="Helvetica Neue" w:hAnsi="Helvetica Neue"/>
          <w:i w:val="0"/>
          <w:color w:val="233447"/>
          <w:sz w:val="20"/>
        </w:rPr>
        <w:t>Express applies security headers, CORS, JSON limits, the global API rate limit, and trusted-origin checks before route logic.</w:t>
      </w:r>
    </w:p>
    <w:p>
      <w:pPr>
        <w:keepLines w:val="0"/>
        <w:numPr>
          <w:ilvl w:val="0"/>
          <w:numId w:val="11"/>
        </w:numPr>
        <w:spacing w:after="50" w:line="278" w:lineRule="auto"/>
      </w:pPr>
      <w:r>
        <w:rPr>
          <w:rFonts w:ascii="Helvetica Neue" w:hAnsi="Helvetica Neue"/>
          <w:i w:val="0"/>
          <w:color w:val="233447"/>
          <w:sz w:val="20"/>
        </w:rPr>
        <w:t>Protected paths pass through requireAuth, which verifies the signed cookie, expiry, configured credentials, and active session ID.</w:t>
      </w:r>
    </w:p>
    <w:p>
      <w:pPr>
        <w:keepLines w:val="0"/>
        <w:numPr>
          <w:ilvl w:val="0"/>
          <w:numId w:val="11"/>
        </w:numPr>
        <w:spacing w:after="50" w:line="278" w:lineRule="auto"/>
      </w:pPr>
      <w:r>
        <w:rPr>
          <w:rFonts w:ascii="Helvetica Neue" w:hAnsi="Helvetica Neue"/>
          <w:i w:val="0"/>
          <w:color w:val="233447"/>
          <w:sz w:val="20"/>
        </w:rPr>
        <w:t>The route validates IDs, strings, amounts, timestamps, enum values, and query sorting before calling services or the database.</w:t>
      </w:r>
    </w:p>
    <w:p>
      <w:pPr>
        <w:keepLines w:val="0"/>
        <w:numPr>
          <w:ilvl w:val="0"/>
          <w:numId w:val="11"/>
        </w:numPr>
        <w:spacing w:after="50" w:line="278" w:lineRule="auto"/>
      </w:pPr>
      <w:r>
        <w:rPr>
          <w:rFonts w:ascii="Helvetica Neue" w:hAnsi="Helvetica Neue"/>
          <w:i w:val="0"/>
          <w:color w:val="233447"/>
          <w:sz w:val="20"/>
        </w:rPr>
        <w:t>The server writes or reads durable state, returns JSON or a file, and the hook updates React state so components re-render.</w:t>
      </w:r>
    </w:p>
    <w:p>
      <w:pPr>
        <w:spacing w:after="0"/>
      </w:pPr>
    </w:p>
    <w:p>
      <w:pPr>
        <w:pStyle w:val="Heading2"/>
        <w:keepNext/>
        <w:spacing w:before="160" w:after="90"/>
      </w:pPr>
      <w:r>
        <w:rPr>
          <w:rFonts w:ascii="Helvetica Neue" w:hAnsi="Helvetica Neue"/>
          <w:b/>
          <w:color w:val="5B7085"/>
          <w:sz w:val="21"/>
        </w:rPr>
        <w:t>Component responsibilities and failure behavior</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1900"/>
        <w:gridCol w:w="2850"/>
        <w:gridCol w:w="2500"/>
        <w:gridCol w:w="2974"/>
      </w:tblGrid>
      <w:tr>
        <w:trPr>
          <w:tblHeader w:val="true"/>
        </w:trPr>
        <w:tc>
          <w:tcPr>
            <w:tcW w:type="dxa" w:w="19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Component</w:t>
            </w:r>
          </w:p>
        </w:tc>
        <w:tc>
          <w:tcPr>
            <w:tcW w:type="dxa" w:w="285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Responsibility</w:t>
            </w:r>
          </w:p>
        </w:tc>
        <w:tc>
          <w:tcPr>
            <w:tcW w:type="dxa" w:w="25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Primary state</w:t>
            </w:r>
          </w:p>
        </w:tc>
        <w:tc>
          <w:tcPr>
            <w:tcW w:type="dxa" w:w="297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Failure behavior</w:t>
            </w:r>
          </w:p>
        </w:tc>
      </w:tr>
      <w:tr>
        <w:trPr>
          <w:cantSplit/>
        </w:trPr>
        <w:tc>
          <w:tcPr>
            <w:tcW w:type="dxa" w:w="19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React client</w:t>
            </w:r>
          </w:p>
        </w:tc>
        <w:tc>
          <w:tcPr>
            <w:tcW w:type="dxa" w:w="28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Collect input and present server-owned data</w:t>
            </w:r>
          </w:p>
        </w:tc>
        <w:tc>
          <w:tcPr>
            <w:tcW w:type="dxa" w:w="25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Memory plus theme/session hints in browser storage</w:t>
            </w:r>
          </w:p>
        </w:tc>
        <w:tc>
          <w:tcPr>
            <w:tcW w:type="dxa" w:w="29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Shows local error states or toasts; durable data remains on the server</w:t>
            </w:r>
          </w:p>
        </w:tc>
      </w:tr>
      <w:tr>
        <w:trPr>
          <w:cantSplit/>
        </w:trPr>
        <w:tc>
          <w:tcPr>
            <w:tcW w:type="dxa" w:w="19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Express boundary</w:t>
            </w:r>
          </w:p>
        </w:tc>
        <w:tc>
          <w:tcPr>
            <w:tcW w:type="dxa" w:w="28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Security, authentication, validation, and HTTP response semantics</w:t>
            </w:r>
          </w:p>
        </w:tc>
        <w:tc>
          <w:tcPr>
            <w:tcW w:type="dxa" w:w="25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Environment configuration and session cookie</w:t>
            </w:r>
          </w:p>
        </w:tc>
        <w:tc>
          <w:tcPr>
            <w:tcW w:type="dxa" w:w="29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Rejects with a clear 4xx or a safe 500 response</w:t>
            </w:r>
          </w:p>
        </w:tc>
      </w:tr>
      <w:tr>
        <w:trPr>
          <w:cantSplit/>
        </w:trPr>
        <w:tc>
          <w:tcPr>
            <w:tcW w:type="dxa" w:w="19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Domain services</w:t>
            </w:r>
          </w:p>
        </w:tc>
        <w:tc>
          <w:tcPr>
            <w:tcW w:type="dxa" w:w="28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Money conversion, schedules, backup validation, calculations, and reset orchestration</w:t>
            </w:r>
          </w:p>
        </w:tc>
        <w:tc>
          <w:tcPr>
            <w:tcW w:type="dxa" w:w="25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Database plus process-local caches/tokens</w:t>
            </w:r>
          </w:p>
        </w:tc>
        <w:tc>
          <w:tcPr>
            <w:tcW w:type="dxa" w:w="29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Uses safe fallback where documented or throws for the route to contain</w:t>
            </w:r>
          </w:p>
        </w:tc>
      </w:tr>
      <w:tr>
        <w:trPr>
          <w:cantSplit/>
        </w:trPr>
        <w:tc>
          <w:tcPr>
            <w:tcW w:type="dxa" w:w="19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LibSQL</w:t>
            </w:r>
          </w:p>
        </w:tc>
        <w:tc>
          <w:tcPr>
            <w:tcW w:type="dxa" w:w="28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Authoritative structured records and constraints</w:t>
            </w:r>
          </w:p>
        </w:tc>
        <w:tc>
          <w:tcPr>
            <w:tcW w:type="dxa" w:w="25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Local file or remote Turso</w:t>
            </w:r>
          </w:p>
        </w:tc>
        <w:tc>
          <w:tcPr>
            <w:tcW w:type="dxa" w:w="29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Required writes fail; transactional flows roll back</w:t>
            </w:r>
          </w:p>
        </w:tc>
      </w:tr>
      <w:tr>
        <w:trPr>
          <w:cantSplit/>
        </w:trPr>
        <w:tc>
          <w:tcPr>
            <w:tcW w:type="dxa" w:w="19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Receipt storage</w:t>
            </w:r>
          </w:p>
        </w:tc>
        <w:tc>
          <w:tcPr>
            <w:tcW w:type="dxa" w:w="28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Short-lived validated receipt images</w:t>
            </w:r>
          </w:p>
        </w:tc>
        <w:tc>
          <w:tcPr>
            <w:tcW w:type="dxa" w:w="25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Server filesystem</w:t>
            </w:r>
          </w:p>
        </w:tc>
        <w:tc>
          <w:tcPr>
            <w:tcW w:type="dxa" w:w="29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Missing files return 404; cleanup removes expired metadata and files</w:t>
            </w:r>
          </w:p>
        </w:tc>
      </w:tr>
      <w:tr>
        <w:trPr>
          <w:cantSplit/>
        </w:trPr>
        <w:tc>
          <w:tcPr>
            <w:tcW w:type="dxa" w:w="19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Rate provider</w:t>
            </w:r>
          </w:p>
        </w:tc>
        <w:tc>
          <w:tcPr>
            <w:tcW w:type="dxa" w:w="28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Supplies current MYR-to-IDR rate</w:t>
            </w:r>
          </w:p>
        </w:tc>
        <w:tc>
          <w:tcPr>
            <w:tcW w:type="dxa" w:w="25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Fifteen-minute process cache</w:t>
            </w:r>
          </w:p>
        </w:tc>
        <w:tc>
          <w:tcPr>
            <w:tcW w:type="dxa" w:w="29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Falls back to 1 MYR = 4,500 IDR</w:t>
            </w:r>
          </w:p>
        </w:tc>
      </w:tr>
    </w:tbl>
    <w:p>
      <w:pPr>
        <w:spacing w:after="20"/>
      </w:pPr>
    </w:p>
    <w:p>
      <w:pPr>
        <w:pStyle w:val="Heading1"/>
        <w:keepNext/>
        <w:pageBreakBefore w:val="0"/>
        <w:spacing w:before="200" w:after="130"/>
      </w:pPr>
      <w:r>
        <w:rPr>
          <w:rFonts w:ascii="Helvetica Neue" w:hAnsi="Helvetica Neue"/>
          <w:b/>
          <w:color w:val="082A4A"/>
          <w:sz w:val="27"/>
        </w:rPr>
        <w:t>6.  Client Architecture</w:t>
      </w:r>
    </w:p>
    <w:p>
      <w:pPr>
        <w:pStyle w:val="Heading2"/>
        <w:keepNext/>
        <w:spacing w:before="160" w:after="90"/>
      </w:pPr>
      <w:r>
        <w:rPr>
          <w:rFonts w:ascii="Helvetica Neue" w:hAnsi="Helvetica Neue"/>
          <w:b/>
          <w:color w:val="5B7085"/>
          <w:sz w:val="21"/>
        </w:rPr>
        <w:t>App is the browser orchestrator</w:t>
      </w:r>
    </w:p>
    <w:p>
      <w:pPr>
        <w:keepLines w:val="0"/>
        <w:spacing w:after="110" w:line="278" w:lineRule="auto"/>
      </w:pPr>
      <w:r>
        <w:rPr>
          <w:rFonts w:ascii="Helvetica Neue" w:hAnsi="Helvetica Neue"/>
          <w:i w:val="0"/>
          <w:color w:val="233447"/>
          <w:sz w:val="20"/>
        </w:rPr>
        <w:t>App.tsx first checks /api/auth/session. While that request is pending, it shows either a login skeleton or an application skeleton based on a non-sensitive localStorage hint. A valid session renders AuthenticatedApp; an invalid or expired session renders LoginPage.</w:t>
      </w:r>
    </w:p>
    <w:p>
      <w:pPr>
        <w:keepLines w:val="0"/>
        <w:spacing w:after="110" w:line="278" w:lineRule="auto"/>
      </w:pPr>
      <w:r>
        <w:rPr>
          <w:rFonts w:ascii="Helvetica Neue" w:hAnsi="Helvetica Neue"/>
          <w:i w:val="0"/>
          <w:color w:val="233447"/>
          <w:sz w:val="20"/>
        </w:rPr>
        <w:t>AuthenticatedApp owns navigation, display currency, theme, toast notifications, edit/delete/import confirmation modals, backup reminder state, and the feature hooks. It passes data and callbacks down to components. This keeps most leaf components focused on presentation and form behavior.</w:t>
      </w:r>
    </w:p>
    <w:p>
      <w:pPr>
        <w:pStyle w:val="Heading2"/>
        <w:keepNext/>
        <w:spacing w:before="160" w:after="90"/>
      </w:pPr>
      <w:r>
        <w:rPr>
          <w:rFonts w:ascii="Helvetica Neue" w:hAnsi="Helvetica Neue"/>
          <w:b/>
          <w:color w:val="5B7085"/>
          <w:sz w:val="21"/>
        </w:rPr>
        <w:t>Feature hooks</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2450"/>
        <w:gridCol w:w="3200"/>
        <w:gridCol w:w="4574"/>
      </w:tblGrid>
      <w:tr>
        <w:trPr>
          <w:tblHeader w:val="true"/>
        </w:trPr>
        <w:tc>
          <w:tcPr>
            <w:tcW w:type="dxa" w:w="245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Hook</w:t>
            </w:r>
          </w:p>
        </w:tc>
        <w:tc>
          <w:tcPr>
            <w:tcW w:type="dxa" w:w="32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Loads</w:t>
            </w:r>
          </w:p>
        </w:tc>
        <w:tc>
          <w:tcPr>
            <w:tcW w:type="dxa" w:w="457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Refresh behavior</w:t>
            </w:r>
          </w:p>
        </w:tc>
      </w:tr>
      <w:tr>
        <w:trPr>
          <w:cantSplit/>
        </w:trPr>
        <w:tc>
          <w:tcPr>
            <w:tcW w:type="dxa" w:w="245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useExpenses</w:t>
            </w:r>
          </w:p>
        </w:tc>
        <w:tc>
          <w:tcPr>
            <w:tcW w:type="dxa" w:w="32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Filtered expenses, dashboard summary, exchange rate</w:t>
            </w:r>
          </w:p>
        </w:tc>
        <w:tc>
          <w:tcPr>
            <w:tcW w:type="dxa" w:w="45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Expenses and summary refresh after mutations, every 60 seconds, and when the window regains focus</w:t>
            </w:r>
          </w:p>
        </w:tc>
      </w:tr>
      <w:tr>
        <w:trPr>
          <w:cantSplit/>
        </w:trPr>
        <w:tc>
          <w:tcPr>
            <w:tcW w:type="dxa" w:w="245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useCategories</w:t>
            </w:r>
          </w:p>
        </w:tc>
        <w:tc>
          <w:tcPr>
            <w:tcW w:type="dxa" w:w="32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Managed categories and automation defaults</w:t>
            </w:r>
          </w:p>
        </w:tc>
        <w:tc>
          <w:tcPr>
            <w:tcW w:type="dxa" w:w="45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Loads on mount; mutations replace the category list returned by the server</w:t>
            </w:r>
          </w:p>
        </w:tc>
      </w:tr>
      <w:tr>
        <w:trPr>
          <w:cantSplit/>
        </w:trPr>
        <w:tc>
          <w:tcPr>
            <w:tcW w:type="dxa" w:w="245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useRecurringExpenses</w:t>
            </w:r>
          </w:p>
        </w:tc>
        <w:tc>
          <w:tcPr>
            <w:tcW w:type="dxa" w:w="32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Active and paused recurring rules</w:t>
            </w:r>
          </w:p>
        </w:tc>
        <w:tc>
          <w:tcPr>
            <w:tcW w:type="dxa" w:w="45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Loads on mount, then every 60 seconds and on window focus</w:t>
            </w:r>
          </w:p>
        </w:tc>
      </w:tr>
      <w:tr>
        <w:trPr>
          <w:cantSplit/>
        </w:trPr>
        <w:tc>
          <w:tcPr>
            <w:tcW w:type="dxa" w:w="245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useReceipts</w:t>
            </w:r>
          </w:p>
        </w:tc>
        <w:tc>
          <w:tcPr>
            <w:tcW w:type="dxa" w:w="32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Receipt metadata</w:t>
            </w:r>
          </w:p>
        </w:tc>
        <w:tc>
          <w:tcPr>
            <w:tcW w:type="dxa" w:w="45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Loads only when the Receipts tab is active and after upload/delete</w:t>
            </w:r>
          </w:p>
        </w:tc>
      </w:tr>
      <w:tr>
        <w:trPr>
          <w:cantSplit/>
        </w:trPr>
        <w:tc>
          <w:tcPr>
            <w:tcW w:type="dxa" w:w="245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6"/>
              </w:rPr>
              <w:t>useEmergencyFund</w:t>
            </w:r>
          </w:p>
        </w:tc>
        <w:tc>
          <w:tcPr>
            <w:tcW w:type="dxa" w:w="32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Settings, category choices, summary, simulation</w:t>
            </w:r>
          </w:p>
        </w:tc>
        <w:tc>
          <w:tcPr>
            <w:tcW w:type="dxa" w:w="45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Loads only on Emergency or Settings tabs and after setting changes</w:t>
            </w:r>
          </w:p>
        </w:tc>
      </w:tr>
    </w:tbl>
    <w:p>
      <w:pPr>
        <w:spacing w:after="20"/>
      </w:pPr>
    </w:p>
    <w:p>
      <w:pPr>
        <w:pStyle w:val="Heading2"/>
        <w:keepNext/>
        <w:spacing w:before="160" w:after="90"/>
      </w:pPr>
      <w:r>
        <w:rPr>
          <w:rFonts w:ascii="Helvetica Neue" w:hAnsi="Helvetica Neue"/>
          <w:b/>
          <w:color w:val="5B7085"/>
          <w:sz w:val="21"/>
        </w:rPr>
        <w:t>Client rules for new code</w:t>
      </w:r>
    </w:p>
    <w:p>
      <w:pPr>
        <w:keepLines w:val="0"/>
        <w:numPr>
          <w:ilvl w:val="0"/>
          <w:numId w:val="12"/>
        </w:numPr>
        <w:spacing w:after="50" w:line="278" w:lineRule="auto"/>
      </w:pPr>
      <w:r>
        <w:rPr>
          <w:rFonts w:ascii="Helvetica Neue" w:hAnsi="Helvetica Neue"/>
          <w:i w:val="0"/>
          <w:color w:val="233447"/>
          <w:sz w:val="20"/>
        </w:rPr>
        <w:t>Do not call fetch from a component or hook. Add the HTTP function to services/api.ts, then call it from the appropriate hook or App coordinator.</w:t>
      </w:r>
    </w:p>
    <w:p>
      <w:pPr>
        <w:keepLines w:val="0"/>
        <w:numPr>
          <w:ilvl w:val="0"/>
          <w:numId w:val="12"/>
        </w:numPr>
        <w:spacing w:after="50" w:line="278" w:lineRule="auto"/>
      </w:pPr>
      <w:r>
        <w:rPr>
          <w:rFonts w:ascii="Helvetica Neue" w:hAnsi="Helvetica Neue"/>
          <w:i w:val="0"/>
          <w:color w:val="233447"/>
          <w:sz w:val="20"/>
        </w:rPr>
        <w:t>Keep server response and form shapes in types.ts. Model allowed currencies and statuses as unions instead of arbitrary strings.</w:t>
      </w:r>
    </w:p>
    <w:p>
      <w:pPr>
        <w:keepLines w:val="0"/>
        <w:numPr>
          <w:ilvl w:val="0"/>
          <w:numId w:val="12"/>
        </w:numPr>
        <w:spacing w:after="50" w:line="278" w:lineRule="auto"/>
      </w:pPr>
      <w:r>
        <w:rPr>
          <w:rFonts w:ascii="Helvetica Neue" w:hAnsi="Helvetica Neue"/>
          <w:i w:val="0"/>
          <w:color w:val="233447"/>
          <w:sz w:val="20"/>
        </w:rPr>
        <w:t>Use shared formatting and analytics utilities for repeated pure logic; do not create an abstraction for a one-off component calculation.</w:t>
      </w:r>
    </w:p>
    <w:p>
      <w:pPr>
        <w:keepLines w:val="0"/>
        <w:numPr>
          <w:ilvl w:val="0"/>
          <w:numId w:val="12"/>
        </w:numPr>
        <w:spacing w:after="50" w:line="278" w:lineRule="auto"/>
      </w:pPr>
      <w:r>
        <w:rPr>
          <w:rFonts w:ascii="Helvetica Neue" w:hAnsi="Helvetica Neue"/>
          <w:i w:val="0"/>
          <w:color w:val="233447"/>
          <w:sz w:val="20"/>
        </w:rPr>
        <w:t>Use CSS variables and existing neomorphic classes. Avoid adding inline styles even though a few legacy examples remain in App.tsx.</w:t>
      </w:r>
    </w:p>
    <w:p>
      <w:pPr>
        <w:keepLines w:val="0"/>
        <w:numPr>
          <w:ilvl w:val="0"/>
          <w:numId w:val="12"/>
        </w:numPr>
        <w:spacing w:after="50" w:line="278" w:lineRule="auto"/>
      </w:pPr>
      <w:r>
        <w:rPr>
          <w:rFonts w:ascii="Helvetica Neue" w:hAnsi="Helvetica Neue"/>
          <w:i w:val="0"/>
          <w:color w:val="233447"/>
          <w:sz w:val="20"/>
        </w:rPr>
        <w:t>Preserve accessible labels, real buttons and inputs, keyboard behavior, and visible loading/error states.</w:t>
      </w:r>
    </w:p>
    <w:p>
      <w:pPr>
        <w:spacing w:after="0"/>
      </w:pPr>
    </w:p>
    <w:p>
      <w:pPr>
        <w:pStyle w:val="Heading2"/>
        <w:keepNext/>
        <w:spacing w:before="160" w:after="90"/>
      </w:pPr>
      <w:r>
        <w:rPr>
          <w:rFonts w:ascii="Helvetica Neue" w:hAnsi="Helvetica Neue"/>
          <w:b/>
          <w:color w:val="5B7085"/>
          <w:sz w:val="21"/>
        </w:rPr>
        <w:t>Important browser storage</w:t>
      </w:r>
    </w:p>
    <w:p>
      <w:pPr>
        <w:spacing w:after="70" w:line="269" w:lineRule="auto"/>
      </w:pPr>
      <w:r>
        <w:rPr>
          <w:rFonts w:ascii="Helvetica Neue" w:hAnsi="Helvetica Neue"/>
          <w:b/>
          <w:color w:val="082A4A"/>
          <w:sz w:val="20"/>
        </w:rPr>
        <w:t xml:space="preserve">localStorage: </w:t>
      </w:r>
      <w:r>
        <w:rPr>
          <w:rFonts w:ascii="Helvetica Neue" w:hAnsi="Helvetica Neue"/>
          <w:color w:val="233447"/>
          <w:sz w:val="20"/>
        </w:rPr>
        <w:t>Stores only the light/dark theme and a boolean session hint. It does not store the session token or financial records.</w:t>
      </w:r>
    </w:p>
    <w:p>
      <w:pPr>
        <w:spacing w:after="70" w:line="269" w:lineRule="auto"/>
      </w:pPr>
      <w:r>
        <w:rPr>
          <w:rFonts w:ascii="Helvetica Neue" w:hAnsi="Helvetica Neue"/>
          <w:b/>
          <w:color w:val="082A4A"/>
          <w:sz w:val="20"/>
        </w:rPr>
        <w:t xml:space="preserve">sessionStorage: </w:t>
      </w:r>
      <w:r>
        <w:rPr>
          <w:rFonts w:ascii="Helvetica Neue" w:hAnsi="Helvetica Neue"/>
          <w:color w:val="233447"/>
          <w:sz w:val="20"/>
        </w:rPr>
        <w:t>Stores whether the backup reminder was dismissed for the current authenticated session.</w:t>
      </w:r>
    </w:p>
    <w:p>
      <w:pPr>
        <w:spacing w:after="70" w:line="269" w:lineRule="auto"/>
      </w:pPr>
      <w:r>
        <w:rPr>
          <w:rFonts w:ascii="Helvetica Neue" w:hAnsi="Helvetica Neue"/>
          <w:b/>
          <w:color w:val="082A4A"/>
          <w:sz w:val="20"/>
        </w:rPr>
        <w:t xml:space="preserve">Cookie: </w:t>
      </w:r>
      <w:r>
        <w:rPr>
          <w:rFonts w:ascii="Helvetica Neue" w:hAnsi="Helvetica Neue"/>
          <w:color w:val="233447"/>
          <w:sz w:val="20"/>
        </w:rPr>
        <w:t>The server sets the HttpOnly financial_tracker_session cookie. Browser JavaScript cannot read it; fetch sends it because credentials is include.</w:t>
      </w:r>
    </w:p>
    <w:p>
      <w:pPr>
        <w:pStyle w:val="Heading1"/>
        <w:keepNext/>
        <w:pageBreakBefore w:val="0"/>
        <w:spacing w:before="200" w:after="130"/>
      </w:pPr>
      <w:r>
        <w:rPr>
          <w:rFonts w:ascii="Helvetica Neue" w:hAnsi="Helvetica Neue"/>
          <w:b/>
          <w:color w:val="082A4A"/>
          <w:sz w:val="27"/>
        </w:rPr>
        <w:t>7.  Server Architecture and Request Boundary</w:t>
      </w:r>
    </w:p>
    <w:p>
      <w:pPr>
        <w:pStyle w:val="Heading2"/>
        <w:keepNext/>
        <w:spacing w:before="160" w:after="90"/>
      </w:pPr>
      <w:r>
        <w:rPr>
          <w:rFonts w:ascii="Helvetica Neue" w:hAnsi="Helvetica Neue"/>
          <w:b/>
          <w:color w:val="5B7085"/>
          <w:sz w:val="21"/>
        </w:rPr>
        <w:t>Startup order</w:t>
      </w:r>
    </w:p>
    <w:p>
      <w:pPr>
        <w:keepLines w:val="0"/>
        <w:numPr>
          <w:ilvl w:val="0"/>
          <w:numId w:val="13"/>
        </w:numPr>
        <w:spacing w:after="50" w:line="278" w:lineRule="auto"/>
      </w:pPr>
      <w:r>
        <w:rPr>
          <w:rFonts w:ascii="Helvetica Neue" w:hAnsi="Helvetica Neue"/>
          <w:i w:val="0"/>
          <w:color w:val="233447"/>
          <w:sz w:val="20"/>
        </w:rPr>
        <w:t>config/env.js chooses development, test, or production and loads server/.env or server/.env.production.</w:t>
      </w:r>
    </w:p>
    <w:p>
      <w:pPr>
        <w:keepLines w:val="0"/>
        <w:numPr>
          <w:ilvl w:val="0"/>
          <w:numId w:val="13"/>
        </w:numPr>
        <w:spacing w:after="50" w:line="278" w:lineRule="auto"/>
      </w:pPr>
      <w:r>
        <w:rPr>
          <w:rFonts w:ascii="Helvetica Neue" w:hAnsi="Helvetica Neue"/>
          <w:i w:val="0"/>
          <w:color w:val="233447"/>
          <w:sz w:val="20"/>
        </w:rPr>
        <w:t>database.js selects a local file URL for development/test or a remote libsql/HTTPS Turso URL for production.</w:t>
      </w:r>
    </w:p>
    <w:p>
      <w:pPr>
        <w:keepLines w:val="0"/>
        <w:numPr>
          <w:ilvl w:val="0"/>
          <w:numId w:val="13"/>
        </w:numPr>
        <w:spacing w:after="50" w:line="278" w:lineRule="auto"/>
      </w:pPr>
      <w:r>
        <w:rPr>
          <w:rFonts w:ascii="Helvetica Neue" w:hAnsi="Helvetica Neue"/>
          <w:i w:val="0"/>
          <w:color w:val="233447"/>
          <w:sz w:val="20"/>
        </w:rPr>
        <w:t>initSchema executes schema.sql; seedIfEmpty adds sample data only when its one-time marker is absent.</w:t>
      </w:r>
    </w:p>
    <w:p>
      <w:pPr>
        <w:keepLines w:val="0"/>
        <w:numPr>
          <w:ilvl w:val="0"/>
          <w:numId w:val="13"/>
        </w:numPr>
        <w:spacing w:after="50" w:line="278" w:lineRule="auto"/>
      </w:pPr>
      <w:r>
        <w:rPr>
          <w:rFonts w:ascii="Helvetica Neue" w:hAnsi="Helvetica Neue"/>
          <w:i w:val="0"/>
          <w:color w:val="233447"/>
          <w:sz w:val="20"/>
        </w:rPr>
        <w:t>assertAuthConfiguration rejects missing, weak, malformed, or placeholder authentication settings.</w:t>
      </w:r>
    </w:p>
    <w:p>
      <w:pPr>
        <w:keepLines w:val="0"/>
        <w:numPr>
          <w:ilvl w:val="0"/>
          <w:numId w:val="13"/>
        </w:numPr>
        <w:spacing w:after="50" w:line="278" w:lineRule="auto"/>
      </w:pPr>
      <w:r>
        <w:rPr>
          <w:rFonts w:ascii="Helvetica Neue" w:hAnsi="Helvetica Neue"/>
          <w:i w:val="0"/>
          <w:color w:val="233447"/>
          <w:sz w:val="20"/>
        </w:rPr>
        <w:t>Express middleware and route groups are registered; protected routes receive requireAuth.</w:t>
      </w:r>
    </w:p>
    <w:p>
      <w:pPr>
        <w:keepLines w:val="0"/>
        <w:numPr>
          <w:ilvl w:val="0"/>
          <w:numId w:val="13"/>
        </w:numPr>
        <w:spacing w:after="50" w:line="278" w:lineRule="auto"/>
      </w:pPr>
      <w:r>
        <w:rPr>
          <w:rFonts w:ascii="Helvetica Neue" w:hAnsi="Helvetica Neue"/>
          <w:i w:val="0"/>
          <w:color w:val="233447"/>
          <w:sz w:val="20"/>
        </w:rPr>
        <w:t>After the server starts listening, receipt cleanup and recurring-expense processing run immediately and then on their schedules.</w:t>
      </w:r>
    </w:p>
    <w:p>
      <w:pPr>
        <w:spacing w:after="0"/>
      </w:pPr>
    </w:p>
    <w:p>
      <w:pPr>
        <w:pStyle w:val="Heading2"/>
        <w:keepNext/>
        <w:spacing w:before="160" w:after="90"/>
      </w:pPr>
      <w:r>
        <w:rPr>
          <w:rFonts w:ascii="Helvetica Neue" w:hAnsi="Helvetica Neue"/>
          <w:b/>
          <w:color w:val="5B7085"/>
          <w:sz w:val="21"/>
        </w:rPr>
        <w:t>Middleware order matters</w:t>
      </w:r>
    </w:p>
    <w:p>
      <w:pPr>
        <w:keepLines w:val="0"/>
        <w:spacing w:after="110" w:line="278" w:lineRule="auto"/>
      </w:pPr>
      <w:r>
        <w:rPr>
          <w:rFonts w:ascii="Helvetica Neue" w:hAnsi="Helvetica Neue"/>
          <w:i w:val="0"/>
          <w:color w:val="233447"/>
          <w:sz w:val="20"/>
        </w:rPr>
        <w:t>Middleware is evaluated in registration order. Security headers and no-store response headers apply first, CORS decides which browser origins may read responses, strict JSON parsing caps ordinary JSON at 100 KB, the global API limiter protects all /api traffic, and trusted-origin validation rejects unsafe state-changing requests. Route-specific upload and destructive-operation limiters run later.</w:t>
      </w:r>
    </w:p>
    <w:p>
      <w:pPr>
        <w:spacing w:before="80" w:after="140" w:line="269" w:lineRule="auto"/>
        <w:ind w:left="173" w:right="173"/>
        <w:shd w:fill="EEF5FA"/>
        <w:pBdr>
          <w:left w:val="single" w:sz="16" w:space="10" w:color="2D74A8"/>
        </w:pBdr>
      </w:pPr>
      <w:r>
        <w:rPr>
          <w:rFonts w:ascii="Helvetica Neue" w:hAnsi="Helvetica Neue"/>
          <w:b/>
          <w:color w:val="082A4A"/>
          <w:sz w:val="19"/>
        </w:rPr>
        <w:t xml:space="preserve">Boundary rule  </w:t>
      </w:r>
      <w:r>
        <w:rPr>
          <w:rFonts w:ascii="Helvetica Neue" w:hAnsi="Helvetica Neue"/>
          <w:color w:val="233447"/>
          <w:sz w:val="19"/>
        </w:rPr>
        <w:t>Validate untrusted input in the route before calling a service. Keep reusable business behavior in a service. Mount routes and start infrastructure in server.js, but do not put feature logic there.</w:t>
      </w:r>
    </w:p>
    <w:p>
      <w:pPr>
        <w:pStyle w:val="Heading2"/>
        <w:keepNext/>
        <w:spacing w:before="160" w:after="90"/>
      </w:pPr>
      <w:r>
        <w:rPr>
          <w:rFonts w:ascii="Helvetica Neue" w:hAnsi="Helvetica Neue"/>
          <w:b/>
          <w:color w:val="5B7085"/>
          <w:sz w:val="21"/>
        </w:rPr>
        <w:t>Error contract</w:t>
      </w:r>
    </w:p>
    <w:p>
      <w:pPr>
        <w:keepLines w:val="0"/>
        <w:spacing w:after="110" w:line="278" w:lineRule="auto"/>
      </w:pPr>
      <w:r>
        <w:rPr>
          <w:rFonts w:ascii="Helvetica Neue" w:hAnsi="Helvetica Neue"/>
          <w:i w:val="0"/>
          <w:color w:val="233447"/>
          <w:sz w:val="20"/>
        </w:rPr>
        <w:t>Most server failures return JSON shaped as error: message. The client also accepts message: text for compatibility. Use 400 for invalid input, 401 for missing/invalid authentication, 403 for disallowed origin, 404 for missing records, 409 for conflicts, 425 for an unfinished reset safety delay, 429 for rate limiting, and 500 only for unexpected server failures.</w:t>
      </w:r>
    </w:p>
    <w:p>
      <w:pPr>
        <w:pStyle w:val="Heading1"/>
        <w:keepNext/>
        <w:pageBreakBefore w:val="0"/>
        <w:spacing w:before="200" w:after="130"/>
      </w:pPr>
      <w:r>
        <w:rPr>
          <w:rFonts w:ascii="Helvetica Neue" w:hAnsi="Helvetica Neue"/>
          <w:b/>
          <w:color w:val="082A4A"/>
          <w:sz w:val="27"/>
        </w:rPr>
        <w:t>8.  Database and Data Ownership</w:t>
      </w:r>
    </w:p>
    <w:p>
      <w:pPr>
        <w:keepLines w:val="0"/>
        <w:spacing w:after="110" w:line="278" w:lineRule="auto"/>
      </w:pPr>
      <w:r>
        <w:rPr>
          <w:rFonts w:ascii="Helvetica Neue" w:hAnsi="Helvetica Neue"/>
          <w:i w:val="0"/>
          <w:color w:val="233447"/>
          <w:sz w:val="20"/>
        </w:rPr>
        <w:t>schema.sql is the durable data contract. It creates tables and indexes with IF NOT EXISTS and includes one-time data-preserving category migrations guarded by app_metadata. Do not change only TypeScript types or route SQL when a persistent field changes; update the schema and every producer/consumer together.</w:t>
      </w:r>
    </w:p>
    <w:p>
      <w:pPr>
        <w:pStyle w:val="Heading2"/>
        <w:keepNext/>
        <w:spacing w:before="160" w:after="90"/>
      </w:pPr>
      <w:r>
        <w:rPr>
          <w:rFonts w:ascii="Helvetica Neue" w:hAnsi="Helvetica Neue"/>
          <w:b/>
          <w:color w:val="5B7085"/>
          <w:sz w:val="21"/>
        </w:rPr>
        <w:t>Tables</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2700"/>
        <w:gridCol w:w="3000"/>
        <w:gridCol w:w="4524"/>
      </w:tblGrid>
      <w:tr>
        <w:trPr>
          <w:tblHeader w:val="true"/>
        </w:trPr>
        <w:tc>
          <w:tcPr>
            <w:tcW w:type="dxa" w:w="27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Table</w:t>
            </w:r>
          </w:p>
        </w:tc>
        <w:tc>
          <w:tcPr>
            <w:tcW w:type="dxa" w:w="30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Purpose</w:t>
            </w:r>
          </w:p>
        </w:tc>
        <w:tc>
          <w:tcPr>
            <w:tcW w:type="dxa" w:w="452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Important relationships and rules</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expenses</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One row per recorded expense</w:t>
            </w:r>
          </w:p>
        </w:tc>
        <w:tc>
          <w:tcPr>
            <w:tcW w:type="dxa" w:w="45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Stores MYR, IDR, original currency, rate used, and UTC+8 timestamp</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categories</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Ordered managed category names</w:t>
            </w:r>
          </w:p>
        </w:tc>
        <w:tc>
          <w:tcPr>
            <w:tcW w:type="dxa" w:w="45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Case-insensitive unique names; referenced by behavior rather than an expense foreign key</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category_automation_settings</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Default recurrence choice for each category</w:t>
            </w:r>
          </w:p>
        </w:tc>
        <w:tc>
          <w:tcPr>
            <w:tcW w:type="dxa" w:w="45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Primary/foreign key to categories; daily, weekly, or monthly</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recurring_expense_rules</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Future-payment schedule and template</w:t>
            </w:r>
          </w:p>
        </w:tc>
        <w:tc>
          <w:tcPr>
            <w:tcW w:type="dxa" w:w="45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Optional anchor expense; active, paused, or cancelled</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recurring_expense_occurrences</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Links a scheduled time and rule to its generated expense</w:t>
            </w:r>
          </w:p>
        </w:tc>
        <w:tc>
          <w:tcPr>
            <w:tcW w:type="dxa" w:w="45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Composite primary key prevents the same occurrence twice; expense ID is unique</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receipts</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Metadata for short-lived image files</w:t>
            </w:r>
          </w:p>
        </w:tc>
        <w:tc>
          <w:tcPr>
            <w:tcW w:type="dxa" w:w="45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Filename points to server storage; expiry indexed for cleanup</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emergency_settings</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Singleton emergency-fund configuration</w:t>
            </w:r>
          </w:p>
        </w:tc>
        <w:tc>
          <w:tcPr>
            <w:tcW w:type="dxa" w:w="45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Row ID 1; essential categories stored as JSON text</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backup_preferences</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Manual backup reminder state per username</w:t>
            </w:r>
          </w:p>
        </w:tc>
        <w:tc>
          <w:tcPr>
            <w:tcW w:type="dxa" w:w="45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Intervals are limited to 1, 14, or 30 days</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app_metadata</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One-time migration/seed markers and active session ID</w:t>
            </w:r>
          </w:p>
        </w:tc>
        <w:tc>
          <w:tcPr>
            <w:tcW w:type="dxa" w:w="45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Key/value store used by startup and authentication</w:t>
            </w:r>
          </w:p>
        </w:tc>
      </w:tr>
    </w:tbl>
    <w:p>
      <w:pPr>
        <w:spacing w:after="20"/>
      </w:pPr>
    </w:p>
    <w:p>
      <w:pPr>
        <w:pStyle w:val="Heading2"/>
        <w:keepNext/>
        <w:spacing w:before="160" w:after="90"/>
      </w:pPr>
      <w:r>
        <w:rPr>
          <w:rFonts w:ascii="Helvetica Neue" w:hAnsi="Helvetica Neue"/>
          <w:b/>
          <w:color w:val="5B7085"/>
          <w:sz w:val="21"/>
        </w:rPr>
        <w:t>Source-of-truth rules</w:t>
      </w:r>
    </w:p>
    <w:p>
      <w:pPr>
        <w:keepLines w:val="0"/>
        <w:numPr>
          <w:ilvl w:val="0"/>
          <w:numId w:val="14"/>
        </w:numPr>
        <w:spacing w:after="50" w:line="278" w:lineRule="auto"/>
      </w:pPr>
      <w:r>
        <w:rPr>
          <w:rFonts w:ascii="Helvetica Neue" w:hAnsi="Helvetica Neue"/>
          <w:i w:val="0"/>
          <w:color w:val="233447"/>
          <w:sz w:val="20"/>
        </w:rPr>
        <w:t>Expense rows are the source of truth for history and dashboard aggregates.</w:t>
      </w:r>
    </w:p>
    <w:p>
      <w:pPr>
        <w:keepLines w:val="0"/>
        <w:numPr>
          <w:ilvl w:val="0"/>
          <w:numId w:val="14"/>
        </w:numPr>
        <w:spacing w:after="50" w:line="278" w:lineRule="auto"/>
      </w:pPr>
      <w:r>
        <w:rPr>
          <w:rFonts w:ascii="Helvetica Neue" w:hAnsi="Helvetica Neue"/>
          <w:i w:val="0"/>
          <w:color w:val="233447"/>
          <w:sz w:val="20"/>
        </w:rPr>
        <w:t>Category rows are the allowed category vocabulary. Expense creation/update rejects a category that is no longer managed.</w:t>
      </w:r>
    </w:p>
    <w:p>
      <w:pPr>
        <w:keepLines w:val="0"/>
        <w:numPr>
          <w:ilvl w:val="0"/>
          <w:numId w:val="14"/>
        </w:numPr>
        <w:spacing w:after="50" w:line="278" w:lineRule="auto"/>
      </w:pPr>
      <w:r>
        <w:rPr>
          <w:rFonts w:ascii="Helvetica Neue" w:hAnsi="Helvetica Neue"/>
          <w:i w:val="0"/>
          <w:color w:val="233447"/>
          <w:sz w:val="20"/>
        </w:rPr>
        <w:t>Recurring rules describe future occurrences; editing or deleting a generated expense affects that occurrence only.</w:t>
      </w:r>
    </w:p>
    <w:p>
      <w:pPr>
        <w:keepLines w:val="0"/>
        <w:numPr>
          <w:ilvl w:val="0"/>
          <w:numId w:val="14"/>
        </w:numPr>
        <w:spacing w:after="50" w:line="278" w:lineRule="auto"/>
      </w:pPr>
      <w:r>
        <w:rPr>
          <w:rFonts w:ascii="Helvetica Neue" w:hAnsi="Helvetica Neue"/>
          <w:i w:val="0"/>
          <w:color w:val="233447"/>
          <w:sz w:val="20"/>
        </w:rPr>
        <w:t>Receipt metadata and the corresponding file must agree. The database does not contain image bytes.</w:t>
      </w:r>
    </w:p>
    <w:p>
      <w:pPr>
        <w:keepLines w:val="0"/>
        <w:numPr>
          <w:ilvl w:val="0"/>
          <w:numId w:val="14"/>
        </w:numPr>
        <w:spacing w:after="50" w:line="278" w:lineRule="auto"/>
      </w:pPr>
      <w:r>
        <w:rPr>
          <w:rFonts w:ascii="Helvetica Neue" w:hAnsi="Helvetica Neue"/>
          <w:i w:val="0"/>
          <w:color w:val="233447"/>
          <w:sz w:val="20"/>
        </w:rPr>
        <w:t>Emergency summaries are derived on request from settings plus expense history; simulation results are not persisted.</w:t>
      </w:r>
    </w:p>
    <w:p>
      <w:pPr>
        <w:keepLines w:val="0"/>
        <w:numPr>
          <w:ilvl w:val="0"/>
          <w:numId w:val="14"/>
        </w:numPr>
        <w:spacing w:after="50" w:line="278" w:lineRule="auto"/>
      </w:pPr>
      <w:r>
        <w:rPr>
          <w:rFonts w:ascii="Helvetica Neue" w:hAnsi="Helvetica Neue"/>
          <w:i w:val="0"/>
          <w:color w:val="233447"/>
          <w:sz w:val="20"/>
        </w:rPr>
        <w:t>The current exchange-rate cache and reset intent are process-local and disappear on server restart.</w:t>
      </w:r>
    </w:p>
    <w:p>
      <w:pPr>
        <w:spacing w:after="0"/>
      </w:pPr>
    </w:p>
    <w:p>
      <w:pPr>
        <w:pStyle w:val="Heading1"/>
        <w:keepNext/>
        <w:pageBreakBefore w:val="0"/>
        <w:spacing w:before="200" w:after="130"/>
      </w:pPr>
      <w:r>
        <w:rPr>
          <w:rFonts w:ascii="Helvetica Neue" w:hAnsi="Helvetica Neue"/>
          <w:b/>
          <w:color w:val="082A4A"/>
          <w:sz w:val="27"/>
        </w:rPr>
        <w:t>9.  Authentication, Security, and Privacy</w:t>
      </w:r>
    </w:p>
    <w:p>
      <w:pPr>
        <w:pStyle w:val="Heading2"/>
        <w:keepNext/>
        <w:spacing w:before="160" w:after="90"/>
      </w:pPr>
      <w:r>
        <w:rPr>
          <w:rFonts w:ascii="Helvetica Neue" w:hAnsi="Helvetica Neue"/>
          <w:b/>
          <w:color w:val="5B7085"/>
          <w:sz w:val="21"/>
        </w:rPr>
        <w:t>Login and session lifecycle</w:t>
      </w:r>
    </w:p>
    <w:p>
      <w:pPr>
        <w:keepLines w:val="0"/>
        <w:numPr>
          <w:ilvl w:val="0"/>
          <w:numId w:val="15"/>
        </w:numPr>
        <w:spacing w:after="50" w:line="278" w:lineRule="auto"/>
      </w:pPr>
      <w:r>
        <w:rPr>
          <w:rFonts w:ascii="Helvetica Neue" w:hAnsi="Helvetica Neue"/>
          <w:i w:val="0"/>
          <w:color w:val="233447"/>
          <w:sz w:val="20"/>
        </w:rPr>
        <w:t>The login route accepts a trimmed username and a numeric PIN between 4 and 12 digits.</w:t>
      </w:r>
    </w:p>
    <w:p>
      <w:pPr>
        <w:keepLines w:val="0"/>
        <w:numPr>
          <w:ilvl w:val="0"/>
          <w:numId w:val="15"/>
        </w:numPr>
        <w:spacing w:after="50" w:line="278" w:lineRule="auto"/>
      </w:pPr>
      <w:r>
        <w:rPr>
          <w:rFonts w:ascii="Helvetica Neue" w:hAnsi="Helvetica Neue"/>
          <w:i w:val="0"/>
          <w:color w:val="233447"/>
          <w:sz w:val="20"/>
        </w:rPr>
        <w:t>bcrypt compares the submitted PIN with ADMIN_PIN_HASH. Startup requires a bcrypt cost between 10 and 15.</w:t>
      </w:r>
    </w:p>
    <w:p>
      <w:pPr>
        <w:keepLines w:val="0"/>
        <w:numPr>
          <w:ilvl w:val="0"/>
          <w:numId w:val="15"/>
        </w:numPr>
        <w:spacing w:after="50" w:line="278" w:lineRule="auto"/>
      </w:pPr>
      <w:r>
        <w:rPr>
          <w:rFonts w:ascii="Helvetica Neue" w:hAnsi="Helvetica Neue"/>
          <w:i w:val="0"/>
          <w:color w:val="233447"/>
          <w:sz w:val="20"/>
        </w:rPr>
        <w:t>A successful login creates a six-hour payload signed with HMAC-SHA256 using AUTH_SESSION_SECRET.</w:t>
      </w:r>
    </w:p>
    <w:p>
      <w:pPr>
        <w:keepLines w:val="0"/>
        <w:numPr>
          <w:ilvl w:val="0"/>
          <w:numId w:val="15"/>
        </w:numPr>
        <w:spacing w:after="50" w:line="278" w:lineRule="auto"/>
      </w:pPr>
      <w:r>
        <w:rPr>
          <w:rFonts w:ascii="Helvetica Neue" w:hAnsi="Helvetica Neue"/>
          <w:i w:val="0"/>
          <w:color w:val="233447"/>
          <w:sz w:val="20"/>
        </w:rPr>
        <w:t>The payload includes the username, expiry, a hash-derived credential version, and a random session ID.</w:t>
      </w:r>
    </w:p>
    <w:p>
      <w:pPr>
        <w:keepLines w:val="0"/>
        <w:numPr>
          <w:ilvl w:val="0"/>
          <w:numId w:val="15"/>
        </w:numPr>
        <w:spacing w:after="50" w:line="278" w:lineRule="auto"/>
      </w:pPr>
      <w:r>
        <w:rPr>
          <w:rFonts w:ascii="Helvetica Neue" w:hAnsi="Helvetica Neue"/>
          <w:i w:val="0"/>
          <w:color w:val="233447"/>
          <w:sz w:val="20"/>
        </w:rPr>
        <w:t>The active session ID is stored in app_metadata. A new login rotates it, so only the newest session remains valid.</w:t>
      </w:r>
    </w:p>
    <w:p>
      <w:pPr>
        <w:keepLines w:val="0"/>
        <w:numPr>
          <w:ilvl w:val="0"/>
          <w:numId w:val="15"/>
        </w:numPr>
        <w:spacing w:after="50" w:line="278" w:lineRule="auto"/>
      </w:pPr>
      <w:r>
        <w:rPr>
          <w:rFonts w:ascii="Helvetica Neue" w:hAnsi="Helvetica Neue"/>
          <w:i w:val="0"/>
          <w:color w:val="233447"/>
          <w:sz w:val="20"/>
        </w:rPr>
        <w:t>Changing the PIN hash changes the credential version and invalidates older cookies. Logout rotates the active session and clears the cookie.</w:t>
      </w:r>
    </w:p>
    <w:p>
      <w:pPr>
        <w:spacing w:after="0"/>
      </w:pPr>
    </w:p>
    <w:p>
      <w:pPr>
        <w:pStyle w:val="Heading2"/>
        <w:keepNext/>
        <w:spacing w:before="160" w:after="90"/>
      </w:pPr>
      <w:r>
        <w:rPr>
          <w:rFonts w:ascii="Helvetica Neue" w:hAnsi="Helvetica Neue"/>
          <w:b/>
          <w:color w:val="5B7085"/>
          <w:sz w:val="21"/>
        </w:rPr>
        <w:t>Security controls to preserve</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2150"/>
        <w:gridCol w:w="4550"/>
        <w:gridCol w:w="3524"/>
      </w:tblGrid>
      <w:tr>
        <w:trPr>
          <w:tblHeader w:val="true"/>
        </w:trPr>
        <w:tc>
          <w:tcPr>
            <w:tcW w:type="dxa" w:w="215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Control</w:t>
            </w:r>
          </w:p>
        </w:tc>
        <w:tc>
          <w:tcPr>
            <w:tcW w:type="dxa" w:w="455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Current behavior</w:t>
            </w:r>
          </w:p>
        </w:tc>
        <w:tc>
          <w:tcPr>
            <w:tcW w:type="dxa" w:w="352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Why it matters</w:t>
            </w:r>
          </w:p>
        </w:tc>
      </w:tr>
      <w:tr>
        <w:trPr>
          <w:cantSplit/>
        </w:trPr>
        <w:tc>
          <w:tcPr>
            <w:tcW w:type="dxa" w:w="2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Cookie flags</w:t>
            </w:r>
          </w:p>
        </w:tc>
        <w:tc>
          <w:tcPr>
            <w:tcW w:type="dxa" w:w="45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HttpOnly, Path=/, Priority=High; SameSite=Lax in development; Secure + SameSite=None in production</w:t>
            </w:r>
          </w:p>
        </w:tc>
        <w:tc>
          <w:tcPr>
            <w:tcW w:type="dxa" w:w="35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Prevents JavaScript token access and supports the deployed cross-origin client/API model</w:t>
            </w:r>
          </w:p>
        </w:tc>
      </w:tr>
      <w:tr>
        <w:trPr>
          <w:cantSplit/>
        </w:trPr>
        <w:tc>
          <w:tcPr>
            <w:tcW w:type="dxa" w:w="2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CORS allowlist</w:t>
            </w:r>
          </w:p>
        </w:tc>
        <w:tc>
          <w:tcPr>
            <w:tcW w:type="dxa" w:w="45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Exact origins from CLIENT_ORIGIN with credentials enabled</w:t>
            </w:r>
          </w:p>
        </w:tc>
        <w:tc>
          <w:tcPr>
            <w:tcW w:type="dxa" w:w="35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Only intended browser origins can read credentialed responses</w:t>
            </w:r>
          </w:p>
        </w:tc>
      </w:tr>
      <w:tr>
        <w:trPr>
          <w:cantSplit/>
        </w:trPr>
        <w:tc>
          <w:tcPr>
            <w:tcW w:type="dxa" w:w="2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Trusted-origin check</w:t>
            </w:r>
          </w:p>
        </w:tc>
        <w:tc>
          <w:tcPr>
            <w:tcW w:type="dxa" w:w="45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Every non-GET/HEAD/OPTIONS request needs an allowed Origin or Referer</w:t>
            </w:r>
          </w:p>
        </w:tc>
        <w:tc>
          <w:tcPr>
            <w:tcW w:type="dxa" w:w="35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Protects cookie-authenticated writes from cross-site request forgery</w:t>
            </w:r>
          </w:p>
        </w:tc>
      </w:tr>
      <w:tr>
        <w:trPr>
          <w:cantSplit/>
        </w:trPr>
        <w:tc>
          <w:tcPr>
            <w:tcW w:type="dxa" w:w="2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Rate limits</w:t>
            </w:r>
          </w:p>
        </w:tc>
        <w:tc>
          <w:tcPr>
            <w:tcW w:type="dxa" w:w="45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Global 300/15 min; login 5 failures/15 min; uploads 20/hour; export 10/15 min; import 5/hour; reset 3/hour</w:t>
            </w:r>
          </w:p>
        </w:tc>
        <w:tc>
          <w:tcPr>
            <w:tcW w:type="dxa" w:w="35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Limits guessing, abuse, and expensive operations</w:t>
            </w:r>
          </w:p>
        </w:tc>
      </w:tr>
      <w:tr>
        <w:trPr>
          <w:cantSplit/>
        </w:trPr>
        <w:tc>
          <w:tcPr>
            <w:tcW w:type="dxa" w:w="2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Headers</w:t>
            </w:r>
          </w:p>
        </w:tc>
        <w:tc>
          <w:tcPr>
            <w:tcW w:type="dxa" w:w="45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Helmet CSP, no-store responses, permissions restrictions, no-referrer, production HSTS</w:t>
            </w:r>
          </w:p>
        </w:tc>
        <w:tc>
          <w:tcPr>
            <w:tcW w:type="dxa" w:w="35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Reduces browser exposure and sensitive caching</w:t>
            </w:r>
          </w:p>
        </w:tc>
      </w:tr>
      <w:tr>
        <w:trPr>
          <w:cantSplit/>
        </w:trPr>
        <w:tc>
          <w:tcPr>
            <w:tcW w:type="dxa" w:w="2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Input limits</w:t>
            </w:r>
          </w:p>
        </w:tc>
        <w:tc>
          <w:tcPr>
            <w:tcW w:type="dxa" w:w="45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100 KB JSON; 10 MB receipt and backup uploads; strict value allowlists</w:t>
            </w:r>
          </w:p>
        </w:tc>
        <w:tc>
          <w:tcPr>
            <w:tcW w:type="dxa" w:w="35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Contains memory use and malformed payloads</w:t>
            </w:r>
          </w:p>
        </w:tc>
      </w:tr>
      <w:tr>
        <w:trPr>
          <w:cantSplit/>
        </w:trPr>
        <w:tc>
          <w:tcPr>
            <w:tcW w:type="dxa" w:w="2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Upload verification</w:t>
            </w:r>
          </w:p>
        </w:tc>
        <w:tc>
          <w:tcPr>
            <w:tcW w:type="dxa" w:w="45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Server-generated filenames plus file-signature inspection</w:t>
            </w:r>
          </w:p>
        </w:tc>
        <w:tc>
          <w:tcPr>
            <w:tcW w:type="dxa" w:w="35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A claimed MIME type alone is not trusted</w:t>
            </w:r>
          </w:p>
        </w:tc>
      </w:tr>
      <w:tr>
        <w:trPr>
          <w:cantSplit/>
        </w:trPr>
        <w:tc>
          <w:tcPr>
            <w:tcW w:type="dxa" w:w="2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Backup hardening</w:t>
            </w:r>
          </w:p>
        </w:tc>
        <w:tc>
          <w:tcPr>
            <w:tcW w:type="dxa" w:w="45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Formula-prefix escaping, manifest/schema checks, row markers, cell caps, transaction rollback</w:t>
            </w:r>
          </w:p>
        </w:tc>
        <w:tc>
          <w:tcPr>
            <w:tcW w:type="dxa" w:w="35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Protects spreadsheet users and prevents partial database replacement</w:t>
            </w:r>
          </w:p>
        </w:tc>
      </w:tr>
    </w:tbl>
    <w:p>
      <w:pPr>
        <w:spacing w:after="20"/>
      </w:pPr>
    </w:p>
    <w:p>
      <w:pPr>
        <w:spacing w:before="80" w:after="140" w:line="269" w:lineRule="auto"/>
        <w:ind w:left="173" w:right="173"/>
        <w:shd w:fill="EEF5FA"/>
        <w:pBdr>
          <w:left w:val="single" w:sz="16" w:space="10" w:color="2D74A8"/>
        </w:pBdr>
      </w:pPr>
      <w:r>
        <w:rPr>
          <w:rFonts w:ascii="Helvetica Neue" w:hAnsi="Helvetica Neue"/>
          <w:b/>
          <w:color w:val="082A4A"/>
          <w:sz w:val="19"/>
        </w:rPr>
        <w:t xml:space="preserve">Secrets  </w:t>
      </w:r>
      <w:r>
        <w:rPr>
          <w:rFonts w:ascii="Helvetica Neue" w:hAnsi="Helvetica Neue"/>
          <w:color w:val="233447"/>
          <w:sz w:val="19"/>
        </w:rPr>
        <w:t>Never commit server/.env, server/.env.production, PIN hashes, session secrets, Turso tokens, database files, or receipt uploads. The existing ignore files already exclude these paths; do not weaken them.</w:t>
      </w:r>
    </w:p>
    <w:p>
      <w:pPr>
        <w:pStyle w:val="Heading1"/>
        <w:keepNext/>
        <w:pageBreakBefore/>
        <w:spacing w:before="200" w:after="130"/>
      </w:pPr>
      <w:r>
        <w:rPr>
          <w:rFonts w:ascii="Helvetica Neue" w:hAnsi="Helvetica Neue"/>
          <w:b/>
          <w:color w:val="082A4A"/>
          <w:sz w:val="27"/>
        </w:rPr>
        <w:t>10.  Core Feature Workflows</w:t>
      </w:r>
    </w:p>
    <w:p>
      <w:pPr>
        <w:pStyle w:val="Heading2"/>
        <w:keepNext/>
        <w:spacing w:before="160" w:after="90"/>
      </w:pPr>
      <w:r>
        <w:rPr>
          <w:rFonts w:ascii="Helvetica Neue" w:hAnsi="Helvetica Neue"/>
          <w:b/>
          <w:color w:val="5B7085"/>
          <w:sz w:val="21"/>
        </w:rPr>
        <w:t>A. Create an expense</w:t>
      </w:r>
    </w:p>
    <w:p>
      <w:pPr>
        <w:spacing w:before="60" w:after="60"/>
        <w:jc w:val="center"/>
      </w:pPr>
      <w:r>
        <w:drawing>
          <wp:inline>
            <wp:extent cx="6217920" cy="3627120"/>
            <wp:docPr id="2" name="Picture 2" descr="Eight-step diagram tracing expense creation from the React form through App, the feature hook, API client, security middleware, route validation, currency conversion, database persistence, and UI refresh." title="Eight-step diagram tracing expense creation from the React form through App, the"/>
            <wp:cNvGraphicFramePr>
              <a:graphicFrameLocks noChangeAspect="1"/>
            </wp:cNvGraphicFramePr>
            <a:graphic>
              <a:graphicData uri="http://schemas.openxmlformats.org/drawingml/2006/picture">
                <pic:pic>
                  <pic:nvPicPr>
                    <pic:cNvPr id="0" name="expense-lifecycle.png"/>
                    <pic:cNvPicPr/>
                  </pic:nvPicPr>
                  <pic:blipFill>
                    <a:blip r:embed="rId14"/>
                    <a:stretch>
                      <a:fillRect/>
                    </a:stretch>
                  </pic:blipFill>
                  <pic:spPr>
                    <a:xfrm>
                      <a:off x="0" y="0"/>
                      <a:ext cx="6217920" cy="3627120"/>
                    </a:xfrm>
                    <a:prstGeom prst="rect"/>
                  </pic:spPr>
                </pic:pic>
              </a:graphicData>
            </a:graphic>
          </wp:inline>
        </w:drawing>
      </w:r>
    </w:p>
    <w:p>
      <w:pPr>
        <w:keepNext w:val="0"/>
        <w:spacing w:after="140"/>
      </w:pPr>
      <w:r>
        <w:rPr>
          <w:rFonts w:ascii="Helvetica Neue" w:hAnsi="Helvetica Neue"/>
          <w:i/>
          <w:color w:val="082A4A"/>
          <w:sz w:val="18"/>
        </w:rPr>
        <w:t>Figure 2. End-to-end lifecycle for creating an expense.</w:t>
      </w:r>
    </w:p>
    <w:p>
      <w:pPr>
        <w:keepLines w:val="0"/>
        <w:spacing w:after="110" w:line="278" w:lineRule="auto"/>
      </w:pPr>
      <w:r>
        <w:rPr>
          <w:rFonts w:ascii="Helvetica Neue" w:hAnsi="Helvetica Neue"/>
          <w:i w:val="0"/>
          <w:color w:val="233447"/>
          <w:sz w:val="20"/>
        </w:rPr>
        <w:t>The route accepts name, managed category, positive price up to 1,000,000,000, MYR or IDR, a UTC+8 timestamp, and an optional recurrence object. It trims text, normalizes currency, validates the timestamp shape, resolves the category using a case-insensitive query, obtains the current or fallback rate, and stores both currency amounts.</w:t>
      </w:r>
    </w:p>
    <w:p>
      <w:pPr>
        <w:keepLines w:val="0"/>
        <w:spacing w:after="110" w:line="278" w:lineRule="auto"/>
      </w:pPr>
      <w:r>
        <w:rPr>
          <w:rFonts w:ascii="Helvetica Neue" w:hAnsi="Helvetica Neue"/>
          <w:i w:val="0"/>
          <w:color w:val="233447"/>
          <w:sz w:val="20"/>
        </w:rPr>
        <w:t>When recurrence is enabled, createExpenseRecord writes the initial expense, a recurring rule, and the first occurrence link in one LibSQL write batch. The next run time is computed from the anchor timestamp. Monthly schedules clamp to the last valid day of shorter months.</w:t>
      </w:r>
    </w:p>
    <w:p>
      <w:pPr>
        <w:pStyle w:val="Heading2"/>
        <w:keepNext/>
        <w:spacing w:before="160" w:after="90"/>
      </w:pPr>
      <w:r>
        <w:rPr>
          <w:rFonts w:ascii="Helvetica Neue" w:hAnsi="Helvetica Neue"/>
          <w:b/>
          <w:color w:val="5B7085"/>
          <w:sz w:val="21"/>
        </w:rPr>
        <w:t>B. Load dashboard analytics</w:t>
      </w:r>
    </w:p>
    <w:p>
      <w:pPr>
        <w:keepLines w:val="0"/>
        <w:numPr>
          <w:ilvl w:val="0"/>
          <w:numId w:val="16"/>
        </w:numPr>
        <w:spacing w:after="50" w:line="278" w:lineRule="auto"/>
      </w:pPr>
      <w:r>
        <w:rPr>
          <w:rFonts w:ascii="Helvetica Neue" w:hAnsi="Helvetica Neue"/>
          <w:i w:val="0"/>
          <w:color w:val="233447"/>
          <w:sz w:val="20"/>
        </w:rPr>
        <w:t>useExpenses requests /api/summary on mount, while the server uses the current UTC+8 date as the reference.</w:t>
      </w:r>
    </w:p>
    <w:p>
      <w:pPr>
        <w:keepLines w:val="0"/>
        <w:numPr>
          <w:ilvl w:val="0"/>
          <w:numId w:val="16"/>
        </w:numPr>
        <w:spacing w:after="50" w:line="278" w:lineRule="auto"/>
      </w:pPr>
      <w:r>
        <w:rPr>
          <w:rFonts w:ascii="Helvetica Neue" w:hAnsi="Helvetica Neue"/>
          <w:i w:val="0"/>
          <w:color w:val="233447"/>
          <w:sz w:val="20"/>
        </w:rPr>
        <w:t>The route runs independent aggregate queries in parallel: monthly totals/count, category totals, previous-month comparison, category comparison, largest purchase, weekday averages, 30-day trend, and 365-day heatmap.</w:t>
      </w:r>
    </w:p>
    <w:p>
      <w:pPr>
        <w:keepLines w:val="0"/>
        <w:numPr>
          <w:ilvl w:val="0"/>
          <w:numId w:val="16"/>
        </w:numPr>
        <w:spacing w:after="50" w:line="278" w:lineRule="auto"/>
      </w:pPr>
      <w:r>
        <w:rPr>
          <w:rFonts w:ascii="Helvetica Neue" w:hAnsi="Helvetica Neue"/>
          <w:i w:val="0"/>
          <w:color w:val="233447"/>
          <w:sz w:val="20"/>
        </w:rPr>
        <w:t>Dashboard utilities transform raw aggregates for Chart.js. The display currency toggle affects presentation; stored historical MYR and IDR values remain unchanged.</w:t>
      </w:r>
    </w:p>
    <w:p>
      <w:pPr>
        <w:keepLines w:val="0"/>
        <w:numPr>
          <w:ilvl w:val="0"/>
          <w:numId w:val="16"/>
        </w:numPr>
        <w:spacing w:after="50" w:line="278" w:lineRule="auto"/>
      </w:pPr>
      <w:r>
        <w:rPr>
          <w:rFonts w:ascii="Helvetica Neue" w:hAnsi="Helvetica Neue"/>
          <w:i w:val="0"/>
          <w:color w:val="233447"/>
          <w:sz w:val="20"/>
        </w:rPr>
        <w:t>Expenses and summary refresh every 60 seconds and when the window regains focus, so scheduler-created records appear without a full reload.</w:t>
      </w:r>
    </w:p>
    <w:p>
      <w:pPr>
        <w:spacing w:after="0"/>
      </w:pPr>
    </w:p>
    <w:p>
      <w:pPr>
        <w:pStyle w:val="Heading2"/>
        <w:keepNext/>
        <w:spacing w:before="160" w:after="90"/>
      </w:pPr>
      <w:r>
        <w:rPr>
          <w:rFonts w:ascii="Helvetica Neue" w:hAnsi="Helvetica Neue"/>
          <w:b/>
          <w:color w:val="5B7085"/>
          <w:sz w:val="21"/>
        </w:rPr>
        <w:t>C. Recurring expenses</w:t>
      </w:r>
    </w:p>
    <w:p>
      <w:pPr>
        <w:keepLines w:val="0"/>
        <w:spacing w:after="110" w:line="278" w:lineRule="auto"/>
      </w:pPr>
      <w:r>
        <w:rPr>
          <w:rFonts w:ascii="Helvetica Neue" w:hAnsi="Helvetica Neue"/>
          <w:i w:val="0"/>
          <w:color w:val="233447"/>
          <w:sz w:val="20"/>
        </w:rPr>
        <w:t>Category automation settings are defaults for the add-expense form. Choosing an automated category preselects recurrence and frequency, but the user may still change the form before submitting. Once created, recurring rules are managed separately in Settings.</w:t>
      </w:r>
    </w:p>
    <w:p>
      <w:pPr>
        <w:keepLines w:val="0"/>
        <w:spacing w:after="110" w:line="278" w:lineRule="auto"/>
      </w:pPr>
      <w:r>
        <w:rPr>
          <w:rFonts w:ascii="Helvetica Neue" w:hAnsi="Helvetica Neue"/>
          <w:i w:val="0"/>
          <w:color w:val="233447"/>
          <w:sz w:val="20"/>
        </w:rPr>
        <w:t>The server scheduler runs immediately at startup and once per minute. It selects active rules whose next_run_at is due, creates every missed occurrence up to the cutoff, and advances each rule. The composite key on rule_id plus scheduled_for and a duplicate check make occurrence creation idempotent after retries or overlapping attempts.</w:t>
      </w:r>
    </w:p>
    <w:p>
      <w:pPr>
        <w:pStyle w:val="Heading2"/>
        <w:keepNext/>
        <w:spacing w:before="160" w:after="90"/>
      </w:pPr>
      <w:r>
        <w:rPr>
          <w:rFonts w:ascii="Helvetica Neue" w:hAnsi="Helvetica Neue"/>
          <w:b/>
          <w:color w:val="5B7085"/>
          <w:sz w:val="21"/>
        </w:rPr>
        <w:t>D. Category changes</w:t>
      </w:r>
    </w:p>
    <w:p>
      <w:pPr>
        <w:keepLines w:val="0"/>
        <w:spacing w:after="110" w:line="278" w:lineRule="auto"/>
      </w:pPr>
      <w:r>
        <w:rPr>
          <w:rFonts w:ascii="Helvetica Neue" w:hAnsi="Helvetica Neue"/>
          <w:i w:val="0"/>
          <w:color w:val="233447"/>
          <w:sz w:val="20"/>
        </w:rPr>
        <w:t>Renaming a category updates categories, existing expenses, recurring rules, and emergency essential-category settings in one write batch. Deleting a category cancels its live recurring rules and removes it from emergency settings, while historical expense text remains. At least one category must remain.</w:t>
      </w:r>
    </w:p>
    <w:p>
      <w:pPr>
        <w:pStyle w:val="Heading2"/>
        <w:keepNext/>
        <w:spacing w:before="160" w:after="90"/>
      </w:pPr>
      <w:r>
        <w:rPr>
          <w:rFonts w:ascii="Helvetica Neue" w:hAnsi="Helvetica Neue"/>
          <w:b/>
          <w:color w:val="5B7085"/>
          <w:sz w:val="21"/>
        </w:rPr>
        <w:t>E. Receipt upload and cleanup</w:t>
      </w:r>
    </w:p>
    <w:p>
      <w:pPr>
        <w:keepLines w:val="0"/>
        <w:spacing w:after="110" w:line="278" w:lineRule="auto"/>
      </w:pPr>
      <w:r>
        <w:rPr>
          <w:rFonts w:ascii="Helvetica Neue" w:hAnsi="Helvetica Neue"/>
          <w:i w:val="0"/>
          <w:color w:val="233447"/>
          <w:sz w:val="20"/>
        </w:rPr>
        <w:t>The browser sends multipart form data. Multer limits the file to 10 MB and accepts only the configured image MIME types. The server then reads the file signature, normalizes the extension, assigns a UUID filename, writes metadata with a seven-day expiry, and serves the image through an authenticated endpoint. Cleanup runs on startup and every 24 hours.</w:t>
      </w:r>
    </w:p>
    <w:p>
      <w:pPr>
        <w:pStyle w:val="Heading2"/>
        <w:keepNext/>
        <w:spacing w:before="160" w:after="90"/>
      </w:pPr>
      <w:r>
        <w:rPr>
          <w:rFonts w:ascii="Helvetica Neue" w:hAnsi="Helvetica Neue"/>
          <w:b/>
          <w:color w:val="5B7085"/>
          <w:sz w:val="21"/>
        </w:rPr>
        <w:t>F. Emergency-fund summary and simulation</w:t>
      </w:r>
    </w:p>
    <w:p>
      <w:pPr>
        <w:keepLines w:val="0"/>
        <w:spacing w:after="110" w:line="278" w:lineRule="auto"/>
      </w:pPr>
      <w:r>
        <w:rPr>
          <w:rFonts w:ascii="Helvetica Neue" w:hAnsi="Helvetica Neue"/>
          <w:i w:val="0"/>
          <w:color w:val="233447"/>
          <w:sz w:val="20"/>
        </w:rPr>
        <w:t>The service prefers up to three complete months before the current month. If none exist, it uses partial current-month data and clearly labels that basis. It averages selected essential-category spending, subtracts reserved funds from savings, calculates coverage and target progress, assigns a status, and builds a readiness score weighted 70% coverage, 20% savings progress, and 10% expense stability.</w:t>
      </w:r>
    </w:p>
    <w:p>
      <w:pPr>
        <w:keepLines w:val="0"/>
        <w:spacing w:after="110" w:line="278" w:lineRule="auto"/>
      </w:pPr>
      <w:r>
        <w:rPr>
          <w:rFonts w:ascii="Helvetica Neue" w:hAnsi="Helvetica Neue"/>
          <w:i w:val="0"/>
          <w:color w:val="233447"/>
          <w:sz w:val="20"/>
        </w:rPr>
        <w:t>Simulation adjustments are query data only. They may be fixed MYR amounts or percentages of a category average; the result compares base and simulated monthly expenses and coverage without writing the database.</w:t>
      </w:r>
    </w:p>
    <w:p>
      <w:pPr>
        <w:pStyle w:val="Heading2"/>
        <w:keepNext/>
        <w:spacing w:before="160" w:after="90"/>
      </w:pPr>
      <w:r>
        <w:rPr>
          <w:rFonts w:ascii="Helvetica Neue" w:hAnsi="Helvetica Neue"/>
          <w:b/>
          <w:color w:val="5B7085"/>
          <w:sz w:val="21"/>
        </w:rPr>
        <w:t>G. XLSX backup import/export</w:t>
      </w:r>
    </w:p>
    <w:p>
      <w:pPr>
        <w:keepLines w:val="0"/>
        <w:spacing w:after="110" w:line="278" w:lineRule="auto"/>
      </w:pPr>
      <w:r>
        <w:rPr>
          <w:rFonts w:ascii="Helvetica Neue" w:hAnsi="Helvetica Neue"/>
          <w:i w:val="0"/>
          <w:color w:val="233447"/>
          <w:sz w:val="20"/>
        </w:rPr>
        <w:t>Export discovers every application table and its visible columns, writes one worksheet per table, and adds a hidden row marker plus a __Manifest sheet containing the format, version, schema signature, and row counts. Strings that look like spreadsheet formulas or internal encoding prefixes are escaped.</w:t>
      </w:r>
    </w:p>
    <w:p>
      <w:pPr>
        <w:keepLines w:val="0"/>
        <w:spacing w:after="110" w:line="278" w:lineRule="auto"/>
      </w:pPr>
      <w:r>
        <w:rPr>
          <w:rFonts w:ascii="Helvetica Neue" w:hAnsi="Helvetica Neue"/>
          <w:i w:val="0"/>
          <w:color w:val="233447"/>
          <w:sz w:val="20"/>
        </w:rPr>
        <w:t>Import reads the workbook in memory, validates the manifest and version, compares every table and column with the current database schema, rejects unexpected sheets/formulas/markers or excessive cells, then replaces all table data inside one deferred-foreign-key transaction. A validation or constraint failure leaves the existing database unchanged.</w:t>
      </w:r>
    </w:p>
    <w:p>
      <w:pPr>
        <w:pStyle w:val="Heading2"/>
        <w:keepNext/>
        <w:spacing w:before="160" w:after="90"/>
      </w:pPr>
      <w:r>
        <w:rPr>
          <w:rFonts w:ascii="Helvetica Neue" w:hAnsi="Helvetica Neue"/>
          <w:b/>
          <w:color w:val="5B7085"/>
          <w:sz w:val="21"/>
        </w:rPr>
        <w:t>H. Full application reset</w:t>
      </w:r>
    </w:p>
    <w:p>
      <w:pPr>
        <w:keepLines w:val="0"/>
        <w:spacing w:after="110" w:line="278" w:lineRule="auto"/>
      </w:pPr>
      <w:r>
        <w:rPr>
          <w:rFonts w:ascii="Helvetica Neue" w:hAnsi="Helvetica Neue"/>
          <w:i w:val="0"/>
          <w:color w:val="233447"/>
          <w:sz w:val="20"/>
        </w:rPr>
        <w:t>Reset is deliberately multi-step: the user requests a session-bound random token, waits ten seconds, confirms RESET, and re-enters the PIN before the two-minute intent expires. Receipt files are staged, database tables are cleared and defaults restored in a transaction, and files are either discarded after commit or restored on failure. The reset intent is process-local and single-use.</w:t>
      </w:r>
    </w:p>
    <w:p>
      <w:pPr>
        <w:pStyle w:val="Heading1"/>
        <w:keepNext/>
        <w:pageBreakBefore/>
        <w:spacing w:before="200" w:after="130"/>
      </w:pPr>
      <w:r>
        <w:rPr>
          <w:rFonts w:ascii="Helvetica Neue" w:hAnsi="Helvetica Neue"/>
          <w:b/>
          <w:color w:val="082A4A"/>
          <w:sz w:val="27"/>
        </w:rPr>
        <w:t>11.  API Reference</w:t>
      </w:r>
    </w:p>
    <w:p>
      <w:pPr>
        <w:keepLines w:val="0"/>
        <w:spacing w:after="110" w:line="278" w:lineRule="auto"/>
      </w:pPr>
      <w:r>
        <w:rPr>
          <w:rFonts w:ascii="Helvetica Neue" w:hAnsi="Helvetica Neue"/>
          <w:i w:val="0"/>
          <w:color w:val="233447"/>
          <w:sz w:val="20"/>
        </w:rPr>
        <w:t>All paths below are under /api. Public means requireAuth is not mounted for the endpoint; global security middleware still applies. Protected endpoints require the signed cookie.</w:t>
      </w:r>
    </w:p>
    <w:p>
      <w:pPr>
        <w:pStyle w:val="Heading2"/>
        <w:keepNext/>
        <w:spacing w:before="160" w:after="90"/>
      </w:pPr>
      <w:r>
        <w:rPr>
          <w:rFonts w:ascii="Helvetica Neue" w:hAnsi="Helvetica Neue"/>
          <w:b/>
          <w:color w:val="5B7085"/>
          <w:sz w:val="21"/>
        </w:rPr>
        <w:t>Health and authentication</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1200"/>
        <w:gridCol w:w="3000"/>
        <w:gridCol w:w="1250"/>
        <w:gridCol w:w="4774"/>
      </w:tblGrid>
      <w:tr>
        <w:trPr>
          <w:tblHeader w:val="true"/>
        </w:trPr>
        <w:tc>
          <w:tcPr>
            <w:tcW w:type="dxa" w:w="12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Method</w:t>
            </w:r>
          </w:p>
        </w:tc>
        <w:tc>
          <w:tcPr>
            <w:tcW w:type="dxa" w:w="30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Path</w:t>
            </w:r>
          </w:p>
        </w:tc>
        <w:tc>
          <w:tcPr>
            <w:tcW w:type="dxa" w:w="125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Access</w:t>
            </w:r>
          </w:p>
        </w:tc>
        <w:tc>
          <w:tcPr>
            <w:tcW w:type="dxa" w:w="477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Purpose</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GET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/health</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Public</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Return server status and timestamp</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POST</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/auth/login</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Public</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Validate administrator credentials and set the session cookie</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GET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/auth/session</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Public</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Verify the current cookie and return its expiry</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POST</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/auth/logout</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Public</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Revoke the active session and clear the cookie</w:t>
            </w:r>
          </w:p>
        </w:tc>
      </w:tr>
    </w:tbl>
    <w:p>
      <w:pPr>
        <w:spacing w:after="20"/>
      </w:pPr>
    </w:p>
    <w:p>
      <w:pPr>
        <w:pStyle w:val="Heading2"/>
        <w:keepNext/>
        <w:spacing w:before="160" w:after="90"/>
      </w:pPr>
      <w:r>
        <w:rPr>
          <w:rFonts w:ascii="Helvetica Neue" w:hAnsi="Helvetica Neue"/>
          <w:b/>
          <w:color w:val="5B7085"/>
          <w:sz w:val="21"/>
        </w:rPr>
        <w:t>Expenses and dashboard</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1200"/>
        <w:gridCol w:w="3000"/>
        <w:gridCol w:w="1250"/>
        <w:gridCol w:w="4774"/>
      </w:tblGrid>
      <w:tr>
        <w:trPr>
          <w:tblHeader w:val="true"/>
        </w:trPr>
        <w:tc>
          <w:tcPr>
            <w:tcW w:type="dxa" w:w="12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Method</w:t>
            </w:r>
          </w:p>
        </w:tc>
        <w:tc>
          <w:tcPr>
            <w:tcW w:type="dxa" w:w="30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Path</w:t>
            </w:r>
          </w:p>
        </w:tc>
        <w:tc>
          <w:tcPr>
            <w:tcW w:type="dxa" w:w="125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Access</w:t>
            </w:r>
          </w:p>
        </w:tc>
        <w:tc>
          <w:tcPr>
            <w:tcW w:type="dxa" w:w="477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Purpose</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GET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/expenses</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List expenses with name, category, date, sort, and order filters</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POST</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/expenses</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Protected</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Create an expense and optional recurring rule</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PUT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/expenses/:id</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Update one expense occurrence and recalculate currency values</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DELETE</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/expenses/:id</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Protected</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Delete one expense occurrence</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GET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/summary</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Return dashboard aggregates</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GET</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/exchange-rate</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Protected</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Return current cached or fallback rate metadata</w:t>
            </w:r>
          </w:p>
        </w:tc>
      </w:tr>
    </w:tbl>
    <w:p>
      <w:pPr>
        <w:spacing w:after="20"/>
      </w:pPr>
    </w:p>
    <w:p>
      <w:pPr>
        <w:pStyle w:val="Heading2"/>
        <w:keepNext/>
        <w:spacing w:before="160" w:after="90"/>
      </w:pPr>
      <w:r>
        <w:rPr>
          <w:rFonts w:ascii="Helvetica Neue" w:hAnsi="Helvetica Neue"/>
          <w:b/>
          <w:color w:val="5B7085"/>
          <w:sz w:val="21"/>
        </w:rPr>
        <w:t>Categories and recurring rules</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1200"/>
        <w:gridCol w:w="3000"/>
        <w:gridCol w:w="1250"/>
        <w:gridCol w:w="4774"/>
      </w:tblGrid>
      <w:tr>
        <w:trPr>
          <w:tblHeader w:val="true"/>
        </w:trPr>
        <w:tc>
          <w:tcPr>
            <w:tcW w:type="dxa" w:w="12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Method</w:t>
            </w:r>
          </w:p>
        </w:tc>
        <w:tc>
          <w:tcPr>
            <w:tcW w:type="dxa" w:w="30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Path</w:t>
            </w:r>
          </w:p>
        </w:tc>
        <w:tc>
          <w:tcPr>
            <w:tcW w:type="dxa" w:w="125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Access</w:t>
            </w:r>
          </w:p>
        </w:tc>
        <w:tc>
          <w:tcPr>
            <w:tcW w:type="dxa" w:w="477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Purpose</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GET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/categories</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List categories, usage counts, and automation defaults</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POST</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/categories</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Protected</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Create a category</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PUT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/categories/reorder</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Replace the complete category order</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PUT</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/categories/:id/automation</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Protected</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Change default recurrence settings</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PUT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/categories/:id</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Rename a category and synchronize dependent data</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DELETE</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/categories/:id</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Protected</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Remove a category and cancel matching live rules</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GET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/recurring-expenses</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List non-cancelled rules</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PUT</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/recurring-expenses/:id</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Protected</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Edit, pause, or reactivate a rule</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DELETE</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/recurring-expenses/:id</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Mark a recurring rule cancelled</w:t>
            </w:r>
          </w:p>
        </w:tc>
      </w:tr>
    </w:tbl>
    <w:p>
      <w:pPr>
        <w:spacing w:after="20"/>
      </w:pPr>
    </w:p>
    <w:p>
      <w:pPr>
        <w:pStyle w:val="Heading2"/>
        <w:keepNext/>
        <w:spacing w:before="160" w:after="90"/>
      </w:pPr>
      <w:r>
        <w:rPr>
          <w:rFonts w:ascii="Helvetica Neue" w:hAnsi="Helvetica Neue"/>
          <w:b/>
          <w:color w:val="5B7085"/>
          <w:sz w:val="21"/>
        </w:rPr>
        <w:t>Receipts, emergency fund, backup, and settings</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1200"/>
        <w:gridCol w:w="3000"/>
        <w:gridCol w:w="1250"/>
        <w:gridCol w:w="4774"/>
      </w:tblGrid>
      <w:tr>
        <w:trPr>
          <w:tblHeader w:val="true"/>
        </w:trPr>
        <w:tc>
          <w:tcPr>
            <w:tcW w:type="dxa" w:w="12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Method</w:t>
            </w:r>
          </w:p>
        </w:tc>
        <w:tc>
          <w:tcPr>
            <w:tcW w:type="dxa" w:w="30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Path</w:t>
            </w:r>
          </w:p>
        </w:tc>
        <w:tc>
          <w:tcPr>
            <w:tcW w:type="dxa" w:w="125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Access</w:t>
            </w:r>
          </w:p>
        </w:tc>
        <w:tc>
          <w:tcPr>
            <w:tcW w:type="dxa" w:w="477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Purpose</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GET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/receipts</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List receipt metadata</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POST</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/receipts</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Validate and save one receipt image</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GET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/receipts/:id/image</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Stream a stored receipt image</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DELETE</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/receipts/:id</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Delete receipt file and metadata</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GET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/emergency/settings</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Load emergency settings and category options</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PUT</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/emergency/settings</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Save emergency settings</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GET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/emergency/summary</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Calculate coverage, analytics, score, and insights</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GET</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/emergency/simulation</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Run a non-persistent what-if calculation</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GET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/export/records</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Download the versioned XLSX database backup</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POST</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/export/records/import</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Validate and transactionally replace database records</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GET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/backup/preferences</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Load manual-backup reminder preferences</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PUT</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/backup/preferences</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Change the reminder interval</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POST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/backup/completed</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Record successful manual export</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DELETE</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/backup/last-backup</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Clear the recorded backup date</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POST</w:t>
            </w:r>
          </w:p>
        </w:tc>
        <w:tc>
          <w:tcPr>
            <w:tcW w:type="dxa" w:w="3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/settings/reset-intent</w:t>
            </w:r>
          </w:p>
        </w:tc>
        <w:tc>
          <w:tcPr>
            <w:tcW w:type="dxa" w:w="12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Create a delayed, session-bound reset token</w:t>
            </w:r>
          </w:p>
        </w:tc>
      </w:tr>
      <w:tr>
        <w:trPr>
          <w:cantSplit/>
        </w:trPr>
        <w:tc>
          <w:tcPr>
            <w:tcW w:type="dxa" w:w="12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DELETE</w:t>
            </w:r>
          </w:p>
        </w:tc>
        <w:tc>
          <w:tcPr>
            <w:tcW w:type="dxa" w:w="3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/settings/data</w:t>
            </w:r>
          </w:p>
        </w:tc>
        <w:tc>
          <w:tcPr>
            <w:tcW w:type="dxa" w:w="12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Protected</w:t>
            </w:r>
          </w:p>
        </w:tc>
        <w:tc>
          <w:tcPr>
            <w:tcW w:type="dxa" w:w="47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Reset application data after all confirmations</w:t>
            </w:r>
          </w:p>
        </w:tc>
      </w:tr>
    </w:tbl>
    <w:p>
      <w:pPr>
        <w:spacing w:after="20"/>
      </w:pPr>
    </w:p>
    <w:p>
      <w:pPr>
        <w:pStyle w:val="Heading1"/>
        <w:keepNext/>
        <w:pageBreakBefore w:val="0"/>
        <w:spacing w:before="200" w:after="130"/>
      </w:pPr>
      <w:r>
        <w:rPr>
          <w:rFonts w:ascii="Helvetica Neue" w:hAnsi="Helvetica Neue"/>
          <w:b/>
          <w:color w:val="082A4A"/>
          <w:sz w:val="27"/>
        </w:rPr>
        <w:t>12.  Money, Time, Validation, and Consistency Rules</w:t>
      </w:r>
    </w:p>
    <w:p>
      <w:pPr>
        <w:pStyle w:val="Heading2"/>
        <w:keepNext/>
        <w:spacing w:before="160" w:after="90"/>
      </w:pPr>
      <w:r>
        <w:rPr>
          <w:rFonts w:ascii="Helvetica Neue" w:hAnsi="Helvetica Neue"/>
          <w:b/>
          <w:color w:val="5B7085"/>
          <w:sz w:val="21"/>
        </w:rPr>
        <w:t>Money invariants</w:t>
      </w:r>
    </w:p>
    <w:p>
      <w:pPr>
        <w:keepLines w:val="0"/>
        <w:numPr>
          <w:ilvl w:val="0"/>
          <w:numId w:val="17"/>
        </w:numPr>
        <w:spacing w:after="50" w:line="278" w:lineRule="auto"/>
      </w:pPr>
      <w:r>
        <w:rPr>
          <w:rFonts w:ascii="Helvetica Neue" w:hAnsi="Helvetica Neue"/>
          <w:i w:val="0"/>
          <w:color w:val="233447"/>
          <w:sz w:val="20"/>
        </w:rPr>
        <w:t>Only MYR and IDR are accepted. Currency strings are normalized to uppercase at the API boundary.</w:t>
      </w:r>
    </w:p>
    <w:p>
      <w:pPr>
        <w:keepLines w:val="0"/>
        <w:numPr>
          <w:ilvl w:val="0"/>
          <w:numId w:val="17"/>
        </w:numPr>
        <w:spacing w:after="50" w:line="278" w:lineRule="auto"/>
      </w:pPr>
      <w:r>
        <w:rPr>
          <w:rFonts w:ascii="Helvetica Neue" w:hAnsi="Helvetica Neue"/>
          <w:i w:val="0"/>
          <w:color w:val="233447"/>
          <w:sz w:val="20"/>
        </w:rPr>
        <w:t>A price must be finite, greater than zero, and no more than 1,000,000,000.</w:t>
      </w:r>
    </w:p>
    <w:p>
      <w:pPr>
        <w:keepLines w:val="0"/>
        <w:numPr>
          <w:ilvl w:val="0"/>
          <w:numId w:val="17"/>
        </w:numPr>
        <w:spacing w:after="50" w:line="278" w:lineRule="auto"/>
      </w:pPr>
      <w:r>
        <w:rPr>
          <w:rFonts w:ascii="Helvetica Neue" w:hAnsi="Helvetica Neue"/>
          <w:i w:val="0"/>
          <w:color w:val="233447"/>
          <w:sz w:val="20"/>
        </w:rPr>
        <w:t>Each expense stores price_myr, price_idr, original_currency, and exchange_rate_used.</w:t>
      </w:r>
    </w:p>
    <w:p>
      <w:pPr>
        <w:keepLines w:val="0"/>
        <w:numPr>
          <w:ilvl w:val="0"/>
          <w:numId w:val="17"/>
        </w:numPr>
        <w:spacing w:after="50" w:line="278" w:lineRule="auto"/>
      </w:pPr>
      <w:r>
        <w:rPr>
          <w:rFonts w:ascii="Helvetica Neue" w:hAnsi="Helvetica Neue"/>
          <w:i w:val="0"/>
          <w:color w:val="233447"/>
          <w:sz w:val="20"/>
        </w:rPr>
        <w:t>Conversion uses the rate available when a record is created or updated; dashboard history sums stored values rather than revaluing old records.</w:t>
      </w:r>
    </w:p>
    <w:p>
      <w:pPr>
        <w:keepLines w:val="0"/>
        <w:numPr>
          <w:ilvl w:val="0"/>
          <w:numId w:val="17"/>
        </w:numPr>
        <w:spacing w:after="50" w:line="278" w:lineRule="auto"/>
      </w:pPr>
      <w:r>
        <w:rPr>
          <w:rFonts w:ascii="Helvetica Neue" w:hAnsi="Helvetica Neue"/>
          <w:i w:val="0"/>
          <w:color w:val="233447"/>
          <w:sz w:val="20"/>
        </w:rPr>
        <w:t>The external-rate cache lasts EXCHANGE_RATE_CACHE_MINUTES, defaulting to 15 minutes. Provider failures use 4,500 IDR per MYR and expose usingFallback in the API.</w:t>
      </w:r>
    </w:p>
    <w:p>
      <w:pPr>
        <w:spacing w:after="0"/>
      </w:pPr>
    </w:p>
    <w:p>
      <w:pPr>
        <w:pStyle w:val="Heading2"/>
        <w:keepNext/>
        <w:spacing w:before="160" w:after="90"/>
      </w:pPr>
      <w:r>
        <w:rPr>
          <w:rFonts w:ascii="Helvetica Neue" w:hAnsi="Helvetica Neue"/>
          <w:b/>
          <w:color w:val="5B7085"/>
          <w:sz w:val="21"/>
        </w:rPr>
        <w:t>Time invariants</w:t>
      </w:r>
    </w:p>
    <w:p>
      <w:pPr>
        <w:keepLines w:val="0"/>
        <w:numPr>
          <w:ilvl w:val="0"/>
          <w:numId w:val="18"/>
        </w:numPr>
        <w:spacing w:after="50" w:line="278" w:lineRule="auto"/>
      </w:pPr>
      <w:r>
        <w:rPr>
          <w:rFonts w:ascii="Helvetica Neue" w:hAnsi="Helvetica Neue"/>
          <w:i w:val="0"/>
          <w:color w:val="233447"/>
          <w:sz w:val="20"/>
        </w:rPr>
        <w:t>Business timestamps use ISO-like UTC+8 text such as 2026-07-29T14:30:00+08:00.</w:t>
      </w:r>
    </w:p>
    <w:p>
      <w:pPr>
        <w:keepLines w:val="0"/>
        <w:numPr>
          <w:ilvl w:val="0"/>
          <w:numId w:val="18"/>
        </w:numPr>
        <w:spacing w:after="50" w:line="278" w:lineRule="auto"/>
      </w:pPr>
      <w:r>
        <w:rPr>
          <w:rFonts w:ascii="Helvetica Neue" w:hAnsi="Helvetica Neue"/>
          <w:i w:val="0"/>
          <w:color w:val="233447"/>
          <w:sz w:val="20"/>
        </w:rPr>
        <w:t>Use helpers from server/utils/datetime.js rather than constructing feature timestamps independently.</w:t>
      </w:r>
    </w:p>
    <w:p>
      <w:pPr>
        <w:keepLines w:val="0"/>
        <w:numPr>
          <w:ilvl w:val="0"/>
          <w:numId w:val="18"/>
        </w:numPr>
        <w:spacing w:after="50" w:line="278" w:lineRule="auto"/>
      </w:pPr>
      <w:r>
        <w:rPr>
          <w:rFonts w:ascii="Helvetica Neue" w:hAnsi="Helvetica Neue"/>
          <w:i w:val="0"/>
          <w:color w:val="233447"/>
          <w:sz w:val="20"/>
        </w:rPr>
        <w:t>Date-only expense filters expand to the beginning or end of that UTC+8 day.</w:t>
      </w:r>
    </w:p>
    <w:p>
      <w:pPr>
        <w:keepLines w:val="0"/>
        <w:numPr>
          <w:ilvl w:val="0"/>
          <w:numId w:val="18"/>
        </w:numPr>
        <w:spacing w:after="50" w:line="278" w:lineRule="auto"/>
      </w:pPr>
      <w:r>
        <w:rPr>
          <w:rFonts w:ascii="Helvetica Neue" w:hAnsi="Helvetica Neue"/>
          <w:i w:val="0"/>
          <w:color w:val="233447"/>
          <w:sz w:val="20"/>
        </w:rPr>
        <w:t>Dashboard month boundaries, trends, emergency-fund month selection, backup dates, and recurring schedules all depend on UTC+8 helpers.</w:t>
      </w:r>
    </w:p>
    <w:p>
      <w:pPr>
        <w:keepLines w:val="0"/>
        <w:numPr>
          <w:ilvl w:val="0"/>
          <w:numId w:val="18"/>
        </w:numPr>
        <w:spacing w:after="50" w:line="278" w:lineRule="auto"/>
      </w:pPr>
      <w:r>
        <w:rPr>
          <w:rFonts w:ascii="Helvetica Neue" w:hAnsi="Helvetica Neue"/>
          <w:i w:val="0"/>
          <w:color w:val="233447"/>
          <w:sz w:val="20"/>
        </w:rPr>
        <w:t>Monthly recurrence retains the anchor day where possible and clamps to the last day of shorter months.</w:t>
      </w:r>
    </w:p>
    <w:p>
      <w:pPr>
        <w:spacing w:after="0"/>
      </w:pPr>
    </w:p>
    <w:p>
      <w:pPr>
        <w:pStyle w:val="Heading2"/>
        <w:keepNext/>
        <w:spacing w:before="160" w:after="90"/>
      </w:pPr>
      <w:r>
        <w:rPr>
          <w:rFonts w:ascii="Helvetica Neue" w:hAnsi="Helvetica Neue"/>
          <w:b/>
          <w:color w:val="5B7085"/>
          <w:sz w:val="21"/>
        </w:rPr>
        <w:t>Consistency and rollback</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2600"/>
        <w:gridCol w:w="4000"/>
        <w:gridCol w:w="3624"/>
      </w:tblGrid>
      <w:tr>
        <w:trPr>
          <w:tblHeader w:val="true"/>
        </w:trPr>
        <w:tc>
          <w:tcPr>
            <w:tcW w:type="dxa" w:w="26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Scenario</w:t>
            </w:r>
          </w:p>
        </w:tc>
        <w:tc>
          <w:tcPr>
            <w:tcW w:type="dxa" w:w="40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Guaranteed behavior</w:t>
            </w:r>
          </w:p>
        </w:tc>
        <w:tc>
          <w:tcPr>
            <w:tcW w:type="dxa" w:w="362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Mechanism</w:t>
            </w:r>
          </w:p>
        </w:tc>
      </w:tr>
      <w:tr>
        <w:trPr>
          <w:cantSplit/>
        </w:trPr>
        <w:tc>
          <w:tcPr>
            <w:tcW w:type="dxa" w:w="26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Repeated recurring run</w:t>
            </w:r>
          </w:p>
        </w:tc>
        <w:tc>
          <w:tcPr>
            <w:tcW w:type="dxa" w:w="4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No duplicate occurrence for the same rule and scheduled time</w:t>
            </w:r>
          </w:p>
        </w:tc>
        <w:tc>
          <w:tcPr>
            <w:tcW w:type="dxa" w:w="36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Composite primary key, pre-check, unique expense link, and recovery path</w:t>
            </w:r>
          </w:p>
        </w:tc>
      </w:tr>
      <w:tr>
        <w:trPr>
          <w:cantSplit/>
        </w:trPr>
        <w:tc>
          <w:tcPr>
            <w:tcW w:type="dxa" w:w="26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Recurring creation</w:t>
            </w:r>
          </w:p>
        </w:tc>
        <w:tc>
          <w:tcPr>
            <w:tcW w:type="dxa" w:w="4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Initial expense, rule, and occurrence link are written together</w:t>
            </w:r>
          </w:p>
        </w:tc>
        <w:tc>
          <w:tcPr>
            <w:tcW w:type="dxa" w:w="36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LibSQL write batch</w:t>
            </w:r>
          </w:p>
        </w:tc>
      </w:tr>
      <w:tr>
        <w:trPr>
          <w:cantSplit/>
        </w:trPr>
        <w:tc>
          <w:tcPr>
            <w:tcW w:type="dxa" w:w="26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Category rename</w:t>
            </w:r>
          </w:p>
        </w:tc>
        <w:tc>
          <w:tcPr>
            <w:tcW w:type="dxa" w:w="4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Dependent records keep the same semantic category</w:t>
            </w:r>
          </w:p>
        </w:tc>
        <w:tc>
          <w:tcPr>
            <w:tcW w:type="dxa" w:w="36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Single write batch across category, expenses, rules, and emergency settings</w:t>
            </w:r>
          </w:p>
        </w:tc>
      </w:tr>
      <w:tr>
        <w:trPr>
          <w:cantSplit/>
        </w:trPr>
        <w:tc>
          <w:tcPr>
            <w:tcW w:type="dxa" w:w="26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Backup import failure</w:t>
            </w:r>
          </w:p>
        </w:tc>
        <w:tc>
          <w:tcPr>
            <w:tcW w:type="dxa" w:w="4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Existing database remains unchanged</w:t>
            </w:r>
          </w:p>
        </w:tc>
        <w:tc>
          <w:tcPr>
            <w:tcW w:type="dxa" w:w="36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Full validation before a write transaction plus rollback</w:t>
            </w:r>
          </w:p>
        </w:tc>
      </w:tr>
      <w:tr>
        <w:trPr>
          <w:cantSplit/>
        </w:trPr>
        <w:tc>
          <w:tcPr>
            <w:tcW w:type="dxa" w:w="26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Application reset failure</w:t>
            </w:r>
          </w:p>
        </w:tc>
        <w:tc>
          <w:tcPr>
            <w:tcW w:type="dxa" w:w="40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Database transaction rolls back and staged receipt files are restored</w:t>
            </w:r>
          </w:p>
        </w:tc>
        <w:tc>
          <w:tcPr>
            <w:tcW w:type="dxa" w:w="36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Explicit transaction and file staging</w:t>
            </w:r>
          </w:p>
        </w:tc>
      </w:tr>
      <w:tr>
        <w:trPr>
          <w:cantSplit/>
        </w:trPr>
        <w:tc>
          <w:tcPr>
            <w:tcW w:type="dxa" w:w="26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Rate-provider failure</w:t>
            </w:r>
          </w:p>
        </w:tc>
        <w:tc>
          <w:tcPr>
            <w:tcW w:type="dxa" w:w="40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Expense creation continues with an auditable fallback rate</w:t>
            </w:r>
          </w:p>
        </w:tc>
        <w:tc>
          <w:tcPr>
            <w:tcW w:type="dxa" w:w="36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Documented fallback and stored exchange_rate_used</w:t>
            </w:r>
          </w:p>
        </w:tc>
      </w:tr>
    </w:tbl>
    <w:p>
      <w:pPr>
        <w:spacing w:after="20"/>
      </w:pPr>
    </w:p>
    <w:p>
      <w:pPr>
        <w:pStyle w:val="Heading1"/>
        <w:keepNext/>
        <w:pageBreakBefore w:val="0"/>
        <w:spacing w:before="200" w:after="130"/>
      </w:pPr>
      <w:r>
        <w:rPr>
          <w:rFonts w:ascii="Helvetica Neue" w:hAnsi="Helvetica Neue"/>
          <w:b/>
          <w:color w:val="082A4A"/>
          <w:sz w:val="27"/>
        </w:rPr>
        <w:t>13.  Run the Project Locally</w:t>
      </w:r>
    </w:p>
    <w:p>
      <w:pPr>
        <w:pStyle w:val="Heading2"/>
        <w:keepNext/>
        <w:spacing w:before="160" w:after="90"/>
      </w:pPr>
      <w:r>
        <w:rPr>
          <w:rFonts w:ascii="Helvetica Neue" w:hAnsi="Helvetica Neue"/>
          <w:b/>
          <w:color w:val="5B7085"/>
          <w:sz w:val="21"/>
        </w:rPr>
        <w:t>Prerequisites</w:t>
      </w:r>
    </w:p>
    <w:p>
      <w:pPr>
        <w:keepLines w:val="0"/>
        <w:numPr>
          <w:ilvl w:val="0"/>
          <w:numId w:val="19"/>
        </w:numPr>
        <w:spacing w:after="50" w:line="278" w:lineRule="auto"/>
      </w:pPr>
      <w:r>
        <w:rPr>
          <w:rFonts w:ascii="Helvetica Neue" w:hAnsi="Helvetica Neue"/>
          <w:i w:val="0"/>
          <w:color w:val="233447"/>
          <w:sz w:val="20"/>
        </w:rPr>
        <w:t>Node.js 18 or newer. The production container currently uses Node 20 Alpine.</w:t>
      </w:r>
    </w:p>
    <w:p>
      <w:pPr>
        <w:keepLines w:val="0"/>
        <w:numPr>
          <w:ilvl w:val="0"/>
          <w:numId w:val="19"/>
        </w:numPr>
        <w:spacing w:after="50" w:line="278" w:lineRule="auto"/>
      </w:pPr>
      <w:r>
        <w:rPr>
          <w:rFonts w:ascii="Helvetica Neue" w:hAnsi="Helvetica Neue"/>
          <w:i w:val="0"/>
          <w:color w:val="233447"/>
          <w:sz w:val="20"/>
        </w:rPr>
        <w:t>Two terminal windows: one for the API and one for Vite.</w:t>
      </w:r>
    </w:p>
    <w:p>
      <w:pPr>
        <w:keepLines w:val="0"/>
        <w:numPr>
          <w:ilvl w:val="0"/>
          <w:numId w:val="19"/>
        </w:numPr>
        <w:spacing w:after="50" w:line="278" w:lineRule="auto"/>
      </w:pPr>
      <w:r>
        <w:rPr>
          <w:rFonts w:ascii="Helvetica Neue" w:hAnsi="Helvetica Neue"/>
          <w:i w:val="0"/>
          <w:color w:val="233447"/>
          <w:sz w:val="20"/>
        </w:rPr>
        <w:t>A development server/.env and client/.env.development. Never copy production secrets into local files.</w:t>
      </w:r>
    </w:p>
    <w:p>
      <w:pPr>
        <w:spacing w:after="0"/>
      </w:pPr>
    </w:p>
    <w:p>
      <w:pPr>
        <w:pStyle w:val="Heading2"/>
        <w:keepNext/>
        <w:spacing w:before="160" w:after="90"/>
      </w:pPr>
      <w:r>
        <w:rPr>
          <w:rFonts w:ascii="Helvetica Neue" w:hAnsi="Helvetica Neue"/>
          <w:b/>
          <w:color w:val="5B7085"/>
          <w:sz w:val="21"/>
        </w:rPr>
        <w:t>Install dependencies</w:t>
      </w:r>
    </w:p>
    <w:p>
      <w:pPr>
        <w:spacing w:before="40" w:after="140" w:line="252" w:lineRule="auto"/>
        <w:ind w:left="259" w:right="259"/>
        <w:shd w:fill="F2F5F7"/>
      </w:pPr>
      <w:r>
        <w:rPr>
          <w:rFonts w:ascii="Consolas" w:hAnsi="Consolas"/>
          <w:color w:val="233447"/>
          <w:sz w:val="17"/>
        </w:rPr>
        <w:t>cd "D:\Financial Tracker\server"</w:t>
        <w:br/>
        <w:t>npm install</w:t>
        <w:br/>
        <w:t>cd "D:\Financial Tracker\client"</w:t>
        <w:br/>
        <w:t>npm install</w:t>
      </w:r>
    </w:p>
    <w:p>
      <w:pPr>
        <w:pStyle w:val="Heading2"/>
        <w:keepNext/>
        <w:spacing w:before="160" w:after="90"/>
      </w:pPr>
      <w:r>
        <w:rPr>
          <w:rFonts w:ascii="Helvetica Neue" w:hAnsi="Helvetica Neue"/>
          <w:b/>
          <w:color w:val="5B7085"/>
          <w:sz w:val="21"/>
        </w:rPr>
        <w:t>Minimum development configuration</w:t>
      </w:r>
    </w:p>
    <w:p>
      <w:pPr>
        <w:keepLines w:val="0"/>
        <w:spacing w:after="110" w:line="278" w:lineRule="auto"/>
      </w:pPr>
      <w:r>
        <w:rPr>
          <w:rFonts w:ascii="Helvetica Neue" w:hAnsi="Helvetica Neue"/>
          <w:i w:val="0"/>
          <w:color w:val="233447"/>
          <w:sz w:val="20"/>
        </w:rPr>
        <w:t>Create server/.env with development values. ADMIN_PIN_HASH must be a bcrypt hash, not the PIN itself, and AUTH_SESSION_SECRET must contain at least 32 bytes of non-placeholder secret material.</w:t>
      </w:r>
    </w:p>
    <w:p>
      <w:pPr>
        <w:spacing w:before="40" w:after="140" w:line="252" w:lineRule="auto"/>
        <w:ind w:left="259" w:right="259"/>
        <w:shd w:fill="F2F5F7"/>
      </w:pPr>
      <w:r>
        <w:rPr>
          <w:rFonts w:ascii="Consolas" w:hAnsi="Consolas"/>
          <w:color w:val="233447"/>
          <w:sz w:val="17"/>
        </w:rPr>
        <w:t>NODE_ENV=development</w:t>
        <w:br/>
        <w:t>PORT=4000</w:t>
        <w:br/>
        <w:t>CLIENT_ORIGIN=http://localhost:5173</w:t>
        <w:br/>
        <w:t>DB_PATH=./tracker.db</w:t>
        <w:br/>
        <w:t>EXCHANGE_RATE_CACHE_MINUTES=15</w:t>
        <w:br/>
        <w:t>EXCHANGE_RATE_API_URL=https://open.er-api.com/v6/latest/MYR</w:t>
        <w:br/>
        <w:t>ADMIN_USERNAME=local-admin</w:t>
        <w:br/>
        <w:t>ADMIN_PIN_HASH=paste-a-locally-generated-bcrypt-hash</w:t>
        <w:br/>
        <w:t>AUTH_SESSION_SECRET=use-at-least-32-random-bytes</w:t>
      </w:r>
    </w:p>
    <w:p>
      <w:pPr>
        <w:keepLines w:val="0"/>
        <w:spacing w:after="110" w:line="278" w:lineRule="auto"/>
      </w:pPr>
      <w:r>
        <w:rPr>
          <w:rFonts w:ascii="Helvetica Neue" w:hAnsi="Helvetica Neue"/>
          <w:i w:val="0"/>
          <w:color w:val="233447"/>
          <w:sz w:val="20"/>
        </w:rPr>
        <w:t>Create client/.env.development:</w:t>
      </w:r>
    </w:p>
    <w:p>
      <w:pPr>
        <w:spacing w:before="40" w:after="140" w:line="252" w:lineRule="auto"/>
        <w:ind w:left="259" w:right="259"/>
        <w:shd w:fill="F2F5F7"/>
      </w:pPr>
      <w:r>
        <w:rPr>
          <w:rFonts w:ascii="Consolas" w:hAnsi="Consolas"/>
          <w:color w:val="233447"/>
          <w:sz w:val="17"/>
        </w:rPr>
        <w:t>VITE_API_URL=http://localhost:4000/api</w:t>
      </w:r>
    </w:p>
    <w:p>
      <w:pPr>
        <w:pStyle w:val="Heading2"/>
        <w:keepNext/>
        <w:spacing w:before="160" w:after="90"/>
      </w:pPr>
      <w:r>
        <w:rPr>
          <w:rFonts w:ascii="Helvetica Neue" w:hAnsi="Helvetica Neue"/>
          <w:b/>
          <w:color w:val="5B7085"/>
          <w:sz w:val="21"/>
        </w:rPr>
        <w:t>Start both processes</w:t>
      </w:r>
    </w:p>
    <w:p>
      <w:pPr>
        <w:spacing w:before="40" w:after="140" w:line="252" w:lineRule="auto"/>
        <w:ind w:left="259" w:right="259"/>
        <w:shd w:fill="F2F5F7"/>
      </w:pPr>
      <w:r>
        <w:rPr>
          <w:rFonts w:ascii="Consolas" w:hAnsi="Consolas"/>
          <w:color w:val="233447"/>
          <w:sz w:val="17"/>
        </w:rPr>
        <w:t># Terminal 1</w:t>
        <w:br/>
        <w:t>cd "D:\Financial Tracker\server"</w:t>
        <w:br/>
        <w:t>npm run dev</w:t>
        <w:br/>
        <w:br/>
        <w:t># Terminal 2</w:t>
        <w:br/>
        <w:t>cd "D:\Financial Tracker\client"</w:t>
        <w:br/>
        <w:t>npm run dev</w:t>
      </w:r>
    </w:p>
    <w:p>
      <w:pPr>
        <w:keepLines w:val="0"/>
        <w:numPr>
          <w:ilvl w:val="0"/>
          <w:numId w:val="20"/>
        </w:numPr>
        <w:spacing w:after="50" w:line="278" w:lineRule="auto"/>
      </w:pPr>
      <w:r>
        <w:rPr>
          <w:rFonts w:ascii="Helvetica Neue" w:hAnsi="Helvetica Neue"/>
          <w:i w:val="0"/>
          <w:color w:val="233447"/>
          <w:sz w:val="20"/>
        </w:rPr>
        <w:t>Open http://localhost:5173 and sign in with the configured username and the original plain PIN used to create ADMIN_PIN_HASH.</w:t>
      </w:r>
    </w:p>
    <w:p>
      <w:pPr>
        <w:keepLines w:val="0"/>
        <w:numPr>
          <w:ilvl w:val="0"/>
          <w:numId w:val="20"/>
        </w:numPr>
        <w:spacing w:after="50" w:line="278" w:lineRule="auto"/>
      </w:pPr>
      <w:r>
        <w:rPr>
          <w:rFonts w:ascii="Helvetica Neue" w:hAnsi="Helvetica Neue"/>
          <w:i w:val="0"/>
          <w:color w:val="233447"/>
          <w:sz w:val="20"/>
        </w:rPr>
        <w:t>The API should be available at http://localhost:4000/api/health.</w:t>
      </w:r>
    </w:p>
    <w:p>
      <w:pPr>
        <w:keepLines w:val="0"/>
        <w:numPr>
          <w:ilvl w:val="0"/>
          <w:numId w:val="20"/>
        </w:numPr>
        <w:spacing w:after="50" w:line="278" w:lineRule="auto"/>
      </w:pPr>
      <w:r>
        <w:rPr>
          <w:rFonts w:ascii="Helvetica Neue" w:hAnsi="Helvetica Neue"/>
          <w:i w:val="0"/>
          <w:color w:val="233447"/>
          <w:sz w:val="20"/>
        </w:rPr>
        <w:t>On first startup the server initializes schema.sql and may seed an empty expenses table once.</w:t>
      </w:r>
    </w:p>
    <w:p>
      <w:pPr>
        <w:spacing w:after="0"/>
      </w:pPr>
    </w:p>
    <w:p>
      <w:pPr>
        <w:pStyle w:val="Heading1"/>
        <w:keepNext/>
        <w:pageBreakBefore w:val="0"/>
        <w:spacing w:before="200" w:after="130"/>
      </w:pPr>
      <w:r>
        <w:rPr>
          <w:rFonts w:ascii="Helvetica Neue" w:hAnsi="Helvetica Neue"/>
          <w:b/>
          <w:color w:val="082A4A"/>
          <w:sz w:val="27"/>
        </w:rPr>
        <w:t>14.  Configuration and Environments</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2700"/>
        <w:gridCol w:w="1500"/>
        <w:gridCol w:w="6024"/>
      </w:tblGrid>
      <w:tr>
        <w:trPr>
          <w:tblHeader w:val="true"/>
        </w:trPr>
        <w:tc>
          <w:tcPr>
            <w:tcW w:type="dxa" w:w="27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Variable</w:t>
            </w:r>
          </w:p>
        </w:tc>
        <w:tc>
          <w:tcPr>
            <w:tcW w:type="dxa" w:w="15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Where</w:t>
            </w:r>
          </w:p>
        </w:tc>
        <w:tc>
          <w:tcPr>
            <w:tcW w:type="dxa" w:w="602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Purpose and validation</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NODE_ENV</w:t>
            </w:r>
          </w:p>
        </w:tc>
        <w:tc>
          <w:tcPr>
            <w:tcW w:type="dxa" w:w="15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Server</w:t>
            </w:r>
          </w:p>
        </w:tc>
        <w:tc>
          <w:tcPr>
            <w:tcW w:type="dxa" w:w="60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development, test, or production; defaults to development before env-file loading</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PORT</w:t>
            </w:r>
          </w:p>
        </w:tc>
        <w:tc>
          <w:tcPr>
            <w:tcW w:type="dxa" w:w="15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Server</w:t>
            </w:r>
          </w:p>
        </w:tc>
        <w:tc>
          <w:tcPr>
            <w:tcW w:type="dxa" w:w="60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Express listening port; defaults to 4000</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CLIENT_ORIGIN</w:t>
            </w:r>
          </w:p>
        </w:tc>
        <w:tc>
          <w:tcPr>
            <w:tcW w:type="dxa" w:w="15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Server</w:t>
            </w:r>
          </w:p>
        </w:tc>
        <w:tc>
          <w:tcPr>
            <w:tcW w:type="dxa" w:w="60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Comma-separated exact browser origins; production entries must be HTTPS and non-loopback</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DB_PATH</w:t>
            </w:r>
          </w:p>
        </w:tc>
        <w:tc>
          <w:tcPr>
            <w:tcW w:type="dxa" w:w="15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Development</w:t>
            </w:r>
          </w:p>
        </w:tc>
        <w:tc>
          <w:tcPr>
            <w:tcW w:type="dxa" w:w="60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Required isolated local database path relative to server</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TURSO_DATABASE_URL</w:t>
            </w:r>
          </w:p>
        </w:tc>
        <w:tc>
          <w:tcPr>
            <w:tcW w:type="dxa" w:w="15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Production</w:t>
            </w:r>
          </w:p>
        </w:tc>
        <w:tc>
          <w:tcPr>
            <w:tcW w:type="dxa" w:w="60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Required remote libsql: or https: database URL; tests may use an explicit file URL</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TURSO_AUTH_TOKEN</w:t>
            </w:r>
          </w:p>
        </w:tc>
        <w:tc>
          <w:tcPr>
            <w:tcW w:type="dxa" w:w="15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Production</w:t>
            </w:r>
          </w:p>
        </w:tc>
        <w:tc>
          <w:tcPr>
            <w:tcW w:type="dxa" w:w="60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Required Turso credential</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ADMIN_USERNAME</w:t>
            </w:r>
          </w:p>
        </w:tc>
        <w:tc>
          <w:tcPr>
            <w:tcW w:type="dxa" w:w="15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Server</w:t>
            </w:r>
          </w:p>
        </w:tc>
        <w:tc>
          <w:tcPr>
            <w:tcW w:type="dxa" w:w="60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Single administrator name, 1-80 characters, no surrounding whitespace</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ADMIN_PIN_HASH</w:t>
            </w:r>
          </w:p>
        </w:tc>
        <w:tc>
          <w:tcPr>
            <w:tcW w:type="dxa" w:w="15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Server</w:t>
            </w:r>
          </w:p>
        </w:tc>
        <w:tc>
          <w:tcPr>
            <w:tcW w:type="dxa" w:w="60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bcrypt hash with cost 10-15</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AUTH_SESSION_SECRET</w:t>
            </w:r>
          </w:p>
        </w:tc>
        <w:tc>
          <w:tcPr>
            <w:tcW w:type="dxa" w:w="15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Server</w:t>
            </w:r>
          </w:p>
        </w:tc>
        <w:tc>
          <w:tcPr>
            <w:tcW w:type="dxa" w:w="60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At least 32 bytes; obvious placeholder prefixes are rejected</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EXCHANGE_RATE_API_URL</w:t>
            </w:r>
          </w:p>
        </w:tc>
        <w:tc>
          <w:tcPr>
            <w:tcW w:type="dxa" w:w="15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Server</w:t>
            </w:r>
          </w:p>
        </w:tc>
        <w:tc>
          <w:tcPr>
            <w:tcW w:type="dxa" w:w="60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Provider endpoint returning rates.IDR</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EXCHANGE_RATE_CACHE_MINUTES</w:t>
            </w:r>
          </w:p>
        </w:tc>
        <w:tc>
          <w:tcPr>
            <w:tcW w:type="dxa" w:w="15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Server</w:t>
            </w:r>
          </w:p>
        </w:tc>
        <w:tc>
          <w:tcPr>
            <w:tcW w:type="dxa" w:w="60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Positive cache duration in minutes; invalid/empty values become 15</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TRUST_PROXY</w:t>
            </w:r>
          </w:p>
        </w:tc>
        <w:tc>
          <w:tcPr>
            <w:tcW w:type="dxa" w:w="15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Production</w:t>
            </w:r>
          </w:p>
        </w:tc>
        <w:tc>
          <w:tcPr>
            <w:tcW w:type="dxa" w:w="60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Optional trusted proxy-hop count from 1 to 10 for correct secure behavior and client IPs</w:t>
            </w:r>
          </w:p>
        </w:tc>
      </w:tr>
      <w:tr>
        <w:trPr>
          <w:cantSplit/>
        </w:trPr>
        <w:tc>
          <w:tcPr>
            <w:tcW w:type="dxa" w:w="27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5"/>
              </w:rPr>
              <w:t>VITE_API_URL</w:t>
            </w:r>
          </w:p>
        </w:tc>
        <w:tc>
          <w:tcPr>
            <w:tcW w:type="dxa" w:w="15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Client build</w:t>
            </w:r>
          </w:p>
        </w:tc>
        <w:tc>
          <w:tcPr>
            <w:tcW w:type="dxa" w:w="60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Required API origin or /api base; development must be loopback and production must use HTTPS</w:t>
            </w:r>
          </w:p>
        </w:tc>
      </w:tr>
    </w:tbl>
    <w:p>
      <w:pPr>
        <w:spacing w:after="20"/>
      </w:pPr>
    </w:p>
    <w:p>
      <w:pPr>
        <w:pStyle w:val="Heading2"/>
        <w:keepNext/>
        <w:spacing w:before="160" w:after="90"/>
      </w:pPr>
      <w:r>
        <w:rPr>
          <w:rFonts w:ascii="Helvetica Neue" w:hAnsi="Helvetica Neue"/>
          <w:b/>
          <w:color w:val="5B7085"/>
          <w:sz w:val="21"/>
        </w:rPr>
        <w:t>Environment isolation</w:t>
      </w:r>
    </w:p>
    <w:p>
      <w:pPr>
        <w:keepLines w:val="0"/>
        <w:spacing w:after="110" w:line="278" w:lineRule="auto"/>
      </w:pPr>
      <w:r>
        <w:rPr>
          <w:rFonts w:ascii="Helvetica Neue" w:hAnsi="Helvetica Neue"/>
          <w:i w:val="0"/>
          <w:color w:val="233447"/>
          <w:sz w:val="20"/>
        </w:rPr>
        <w:t>Production refuses to start without the remote Turso URL and token and rejects local file protocols. Development refuses non-file database URLs and requires DB_PATH. The environmentIsolation test protects this boundary so a developer process cannot accidentally connect to production data.</w:t>
      </w:r>
    </w:p>
    <w:p>
      <w:pPr>
        <w:spacing w:before="80" w:after="140" w:line="269" w:lineRule="auto"/>
        <w:ind w:left="173" w:right="173"/>
        <w:shd w:fill="EEF5FA"/>
        <w:pBdr>
          <w:left w:val="single" w:sz="16" w:space="10" w:color="2D74A8"/>
        </w:pBdr>
      </w:pPr>
      <w:r>
        <w:rPr>
          <w:rFonts w:ascii="Helvetica Neue" w:hAnsi="Helvetica Neue"/>
          <w:b/>
          <w:color w:val="082A4A"/>
          <w:sz w:val="19"/>
        </w:rPr>
        <w:t xml:space="preserve">Cookie deployment constraint  </w:t>
      </w:r>
      <w:r>
        <w:rPr>
          <w:rFonts w:ascii="Helvetica Neue" w:hAnsi="Helvetica Neue"/>
          <w:color w:val="233447"/>
          <w:sz w:val="19"/>
        </w:rPr>
        <w:t>For reliable production login, host the client and API on HTTPS subdomains of the same parent domain. Browsers may block the SameSite=None session cookie when the two deployments use unrelated sites.</w:t>
      </w:r>
    </w:p>
    <w:p>
      <w:pPr>
        <w:pStyle w:val="Heading1"/>
        <w:keepNext/>
        <w:pageBreakBefore w:val="0"/>
        <w:spacing w:before="200" w:after="130"/>
      </w:pPr>
      <w:r>
        <w:rPr>
          <w:rFonts w:ascii="Helvetica Neue" w:hAnsi="Helvetica Neue"/>
          <w:b/>
          <w:color w:val="082A4A"/>
          <w:sz w:val="27"/>
        </w:rPr>
        <w:t>15.  Testing and Quality Checks</w:t>
      </w:r>
    </w:p>
    <w:p>
      <w:pPr>
        <w:pStyle w:val="Heading2"/>
        <w:keepNext/>
        <w:spacing w:before="160" w:after="90"/>
      </w:pPr>
      <w:r>
        <w:rPr>
          <w:rFonts w:ascii="Helvetica Neue" w:hAnsi="Helvetica Neue"/>
          <w:b/>
          <w:color w:val="5B7085"/>
          <w:sz w:val="21"/>
        </w:rPr>
        <w:t>Client checks</w:t>
      </w:r>
    </w:p>
    <w:p>
      <w:pPr>
        <w:spacing w:before="40" w:after="140" w:line="252" w:lineRule="auto"/>
        <w:ind w:left="259" w:right="259"/>
        <w:shd w:fill="F2F5F7"/>
      </w:pPr>
      <w:r>
        <w:rPr>
          <w:rFonts w:ascii="Consolas" w:hAnsi="Consolas"/>
          <w:color w:val="233447"/>
          <w:sz w:val="17"/>
        </w:rPr>
        <w:t>cd "D:\Financial Tracker\client"</w:t>
        <w:br/>
        <w:t>npm run lint</w:t>
        <w:br/>
        <w:t>npm run build</w:t>
      </w:r>
    </w:p>
    <w:p>
      <w:pPr>
        <w:keepLines w:val="0"/>
        <w:spacing w:after="110" w:line="278" w:lineRule="auto"/>
      </w:pPr>
      <w:r>
        <w:rPr>
          <w:rFonts w:ascii="Helvetica Neue" w:hAnsi="Helvetica Neue"/>
          <w:i w:val="0"/>
          <w:color w:val="233447"/>
          <w:sz w:val="20"/>
        </w:rPr>
        <w:t>npm run build performs a TypeScript no-emit check before Vite creates the production bundle. Run both commands after client edits. Resolve lint/type errors instead of suppressing them without a clear reason.</w:t>
      </w:r>
    </w:p>
    <w:p>
      <w:pPr>
        <w:pStyle w:val="Heading2"/>
        <w:keepNext/>
        <w:spacing w:before="160" w:after="90"/>
      </w:pPr>
      <w:r>
        <w:rPr>
          <w:rFonts w:ascii="Helvetica Neue" w:hAnsi="Helvetica Neue"/>
          <w:b/>
          <w:color w:val="5B7085"/>
          <w:sz w:val="21"/>
        </w:rPr>
        <w:t>Server checks</w:t>
      </w:r>
    </w:p>
    <w:p>
      <w:pPr>
        <w:spacing w:before="40" w:after="140" w:line="252" w:lineRule="auto"/>
        <w:ind w:left="259" w:right="259"/>
        <w:shd w:fill="F2F5F7"/>
      </w:pPr>
      <w:r>
        <w:rPr>
          <w:rFonts w:ascii="Consolas" w:hAnsi="Consolas"/>
          <w:color w:val="233447"/>
          <w:sz w:val="17"/>
        </w:rPr>
        <w:t>cd "D:\Financial Tracker\server"</w:t>
        <w:br/>
        <w:t>npm run test:security</w:t>
        <w:br/>
        <w:t>npm run test:dashboard-analytics</w:t>
        <w:br/>
        <w:t>node --test tests/appReset.test.js tests/environmentIsolation.test.js</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3300"/>
        <w:gridCol w:w="6924"/>
      </w:tblGrid>
      <w:tr>
        <w:trPr>
          <w:tblHeader w:val="true"/>
        </w:trPr>
        <w:tc>
          <w:tcPr>
            <w:tcW w:type="dxa" w:w="33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7"/>
              </w:rPr>
              <w:t>Test</w:t>
            </w:r>
          </w:p>
        </w:tc>
        <w:tc>
          <w:tcPr>
            <w:tcW w:type="dxa" w:w="692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7"/>
              </w:rPr>
              <w:t>Protects</w:t>
            </w:r>
          </w:p>
        </w:tc>
      </w:tr>
      <w:tr>
        <w:trPr>
          <w:cantSplit/>
        </w:trPr>
        <w:tc>
          <w:tcPr>
            <w:tcW w:type="dxa" w:w="33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7"/>
              </w:rPr>
              <w:t>securityHardening.test.js</w:t>
            </w:r>
          </w:p>
        </w:tc>
        <w:tc>
          <w:tcPr>
            <w:tcW w:type="dxa" w:w="69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Unsafe receipt files, session invalidation, and major request boundaries</w:t>
            </w:r>
          </w:p>
        </w:tc>
      </w:tr>
      <w:tr>
        <w:trPr>
          <w:cantSplit/>
        </w:trPr>
        <w:tc>
          <w:tcPr>
            <w:tcW w:type="dxa" w:w="33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7"/>
              </w:rPr>
              <w:t>dashboardAnalytics.seed.test.js</w:t>
            </w:r>
          </w:p>
        </w:tc>
        <w:tc>
          <w:tcPr>
            <w:tcW w:type="dxa" w:w="69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Seed data coverage for every dashboard analytics section</w:t>
            </w:r>
          </w:p>
        </w:tc>
      </w:tr>
      <w:tr>
        <w:trPr>
          <w:cantSplit/>
        </w:trPr>
        <w:tc>
          <w:tcPr>
            <w:tcW w:type="dxa" w:w="33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7"/>
              </w:rPr>
              <w:t>appReset.test.js</w:t>
            </w:r>
          </w:p>
        </w:tc>
        <w:tc>
          <w:tcPr>
            <w:tcW w:type="dxa" w:w="69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Delayed/session-bound reset intent and clean transactional reset</w:t>
            </w:r>
          </w:p>
        </w:tc>
      </w:tr>
      <w:tr>
        <w:trPr>
          <w:cantSplit/>
        </w:trPr>
        <w:tc>
          <w:tcPr>
            <w:tcW w:type="dxa" w:w="3300"/>
            <w:shd w:fill="DCEAF5"/>
            <w:vAlign w:val="center"/>
            <w:tcMar>
              <w:top w:w="110" w:type="dxa"/>
              <w:start w:w="120" w:type="dxa"/>
              <w:bottom w:w="110" w:type="dxa"/>
              <w:end w:w="120" w:type="dxa"/>
            </w:tcMar>
          </w:tcPr>
          <w:p>
            <w:pPr>
              <w:spacing w:before="0" w:after="0" w:line="259" w:lineRule="auto"/>
              <w:jc w:val="left"/>
            </w:pPr>
            <w:r>
              <w:rPr>
                <w:rFonts w:ascii="Consolas" w:hAnsi="Consolas"/>
                <w:b w:val="0"/>
                <w:color w:val="233447"/>
                <w:sz w:val="17"/>
              </w:rPr>
              <w:t>environmentIsolation.test.js</w:t>
            </w:r>
          </w:p>
        </w:tc>
        <w:tc>
          <w:tcPr>
            <w:tcW w:type="dxa" w:w="69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7"/>
              </w:rPr>
              <w:t>Development database cannot point at production</w:t>
            </w:r>
          </w:p>
        </w:tc>
      </w:tr>
    </w:tbl>
    <w:p>
      <w:pPr>
        <w:spacing w:after="20"/>
      </w:pPr>
    </w:p>
    <w:p>
      <w:pPr>
        <w:pStyle w:val="Heading2"/>
        <w:keepNext/>
        <w:spacing w:before="160" w:after="90"/>
      </w:pPr>
      <w:r>
        <w:rPr>
          <w:rFonts w:ascii="Helvetica Neue" w:hAnsi="Helvetica Neue"/>
          <w:b/>
          <w:color w:val="5B7085"/>
          <w:sz w:val="21"/>
        </w:rPr>
        <w:t>Manual smoke check</w:t>
      </w:r>
    </w:p>
    <w:p>
      <w:pPr>
        <w:keepLines w:val="0"/>
        <w:numPr>
          <w:ilvl w:val="0"/>
          <w:numId w:val="21"/>
        </w:numPr>
        <w:spacing w:after="50" w:line="278" w:lineRule="auto"/>
      </w:pPr>
      <w:r>
        <w:rPr>
          <w:rFonts w:ascii="Helvetica Neue" w:hAnsi="Helvetica Neue"/>
          <w:i w:val="0"/>
          <w:color w:val="233447"/>
          <w:sz w:val="20"/>
        </w:rPr>
        <w:t>Sign in, add one MYR expense and one IDR expense, then verify both currencies on History and Dashboard.</w:t>
      </w:r>
    </w:p>
    <w:p>
      <w:pPr>
        <w:keepLines w:val="0"/>
        <w:numPr>
          <w:ilvl w:val="0"/>
          <w:numId w:val="21"/>
        </w:numPr>
        <w:spacing w:after="50" w:line="278" w:lineRule="auto"/>
      </w:pPr>
      <w:r>
        <w:rPr>
          <w:rFonts w:ascii="Helvetica Neue" w:hAnsi="Helvetica Neue"/>
          <w:i w:val="0"/>
          <w:color w:val="233447"/>
          <w:sz w:val="20"/>
        </w:rPr>
        <w:t>Create a recurring expense, confirm its Settings rule, edit one occurrence, and verify the future rule is unchanged.</w:t>
      </w:r>
    </w:p>
    <w:p>
      <w:pPr>
        <w:keepLines w:val="0"/>
        <w:numPr>
          <w:ilvl w:val="0"/>
          <w:numId w:val="21"/>
        </w:numPr>
        <w:spacing w:after="50" w:line="278" w:lineRule="auto"/>
      </w:pPr>
      <w:r>
        <w:rPr>
          <w:rFonts w:ascii="Helvetica Neue" w:hAnsi="Helvetica Neue"/>
          <w:i w:val="0"/>
          <w:color w:val="233447"/>
          <w:sz w:val="20"/>
        </w:rPr>
        <w:t>Upload a valid receipt image, open it, and delete it.</w:t>
      </w:r>
    </w:p>
    <w:p>
      <w:pPr>
        <w:keepLines w:val="0"/>
        <w:numPr>
          <w:ilvl w:val="0"/>
          <w:numId w:val="21"/>
        </w:numPr>
        <w:spacing w:after="50" w:line="278" w:lineRule="auto"/>
      </w:pPr>
      <w:r>
        <w:rPr>
          <w:rFonts w:ascii="Helvetica Neue" w:hAnsi="Helvetica Neue"/>
          <w:i w:val="0"/>
          <w:color w:val="233447"/>
          <w:sz w:val="20"/>
        </w:rPr>
        <w:t>Change emergency settings and run one amount and one percentage simulation.</w:t>
      </w:r>
    </w:p>
    <w:p>
      <w:pPr>
        <w:keepLines w:val="0"/>
        <w:numPr>
          <w:ilvl w:val="0"/>
          <w:numId w:val="21"/>
        </w:numPr>
        <w:spacing w:after="50" w:line="278" w:lineRule="auto"/>
      </w:pPr>
      <w:r>
        <w:rPr>
          <w:rFonts w:ascii="Helvetica Neue" w:hAnsi="Helvetica Neue"/>
          <w:i w:val="0"/>
          <w:color w:val="233447"/>
          <w:sz w:val="20"/>
        </w:rPr>
        <w:t>Export an XLSX backup. Import only into disposable local data and confirm every feature refreshes.</w:t>
      </w:r>
    </w:p>
    <w:p>
      <w:pPr>
        <w:keepLines w:val="0"/>
        <w:numPr>
          <w:ilvl w:val="0"/>
          <w:numId w:val="21"/>
        </w:numPr>
        <w:spacing w:after="50" w:line="278" w:lineRule="auto"/>
      </w:pPr>
      <w:r>
        <w:rPr>
          <w:rFonts w:ascii="Helvetica Neue" w:hAnsi="Helvetica Neue"/>
          <w:i w:val="0"/>
          <w:color w:val="233447"/>
          <w:sz w:val="20"/>
        </w:rPr>
        <w:t>Log out and confirm protected endpoints return 401 and the client returns to LoginPage.</w:t>
      </w:r>
    </w:p>
    <w:p>
      <w:pPr>
        <w:spacing w:after="0"/>
      </w:pPr>
    </w:p>
    <w:p>
      <w:pPr>
        <w:pStyle w:val="Heading1"/>
        <w:keepNext/>
        <w:pageBreakBefore w:val="0"/>
        <w:spacing w:before="200" w:after="130"/>
      </w:pPr>
      <w:r>
        <w:rPr>
          <w:rFonts w:ascii="Helvetica Neue" w:hAnsi="Helvetica Neue"/>
          <w:b/>
          <w:color w:val="082A4A"/>
          <w:sz w:val="27"/>
        </w:rPr>
        <w:t>16.  Background Jobs and Operational Behavior</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2050"/>
        <w:gridCol w:w="1800"/>
        <w:gridCol w:w="3850"/>
        <w:gridCol w:w="2524"/>
      </w:tblGrid>
      <w:tr>
        <w:trPr>
          <w:tblHeader w:val="true"/>
        </w:trPr>
        <w:tc>
          <w:tcPr>
            <w:tcW w:type="dxa" w:w="205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Process</w:t>
            </w:r>
          </w:p>
        </w:tc>
        <w:tc>
          <w:tcPr>
            <w:tcW w:type="dxa" w:w="18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Cadence</w:t>
            </w:r>
          </w:p>
        </w:tc>
        <w:tc>
          <w:tcPr>
            <w:tcW w:type="dxa" w:w="385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Behavior</w:t>
            </w:r>
          </w:p>
        </w:tc>
        <w:tc>
          <w:tcPr>
            <w:tcW w:type="dxa" w:w="252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5"/>
              </w:rPr>
              <w:t>Operational note</w:t>
            </w:r>
          </w:p>
        </w:tc>
      </w:tr>
      <w:tr>
        <w:trPr>
          <w:cantSplit/>
        </w:trPr>
        <w:tc>
          <w:tcPr>
            <w:tcW w:type="dxa" w:w="20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Recurring processor</w:t>
            </w:r>
          </w:p>
        </w:tc>
        <w:tc>
          <w:tcPr>
            <w:tcW w:type="dxa" w:w="18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Startup + every 60 seconds</w:t>
            </w:r>
          </w:p>
        </w:tc>
        <w:tc>
          <w:tcPr>
            <w:tcW w:type="dxa" w:w="38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Creates all due occurrences and advances next_run_at</w:t>
            </w:r>
          </w:p>
        </w:tc>
        <w:tc>
          <w:tcPr>
            <w:tcW w:type="dxa" w:w="25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Process-local timer; database uniqueness prevents duplicate schedule entries</w:t>
            </w:r>
          </w:p>
        </w:tc>
      </w:tr>
      <w:tr>
        <w:trPr>
          <w:cantSplit/>
        </w:trPr>
        <w:tc>
          <w:tcPr>
            <w:tcW w:type="dxa" w:w="20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Receipt cleanup</w:t>
            </w:r>
          </w:p>
        </w:tc>
        <w:tc>
          <w:tcPr>
            <w:tcW w:type="dxa" w:w="18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Startup + every 24 hours</w:t>
            </w:r>
          </w:p>
        </w:tc>
        <w:tc>
          <w:tcPr>
            <w:tcW w:type="dxa" w:w="38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Deletes expired receipt rows and files</w:t>
            </w:r>
          </w:p>
        </w:tc>
        <w:tc>
          <w:tcPr>
            <w:tcW w:type="dxa" w:w="25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Requires durable writable receipt storage on the API host</w:t>
            </w:r>
          </w:p>
        </w:tc>
      </w:tr>
      <w:tr>
        <w:trPr>
          <w:cantSplit/>
        </w:trPr>
        <w:tc>
          <w:tcPr>
            <w:tcW w:type="dxa" w:w="20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Client expense refresh</w:t>
            </w:r>
          </w:p>
        </w:tc>
        <w:tc>
          <w:tcPr>
            <w:tcW w:type="dxa" w:w="18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Every 60 seconds + window focus</w:t>
            </w:r>
          </w:p>
        </w:tc>
        <w:tc>
          <w:tcPr>
            <w:tcW w:type="dxa" w:w="38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Reloads filtered expenses and summary</w:t>
            </w:r>
          </w:p>
        </w:tc>
        <w:tc>
          <w:tcPr>
            <w:tcW w:type="dxa" w:w="25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Exchange-rate info loads on mount, not each refresh</w:t>
            </w:r>
          </w:p>
        </w:tc>
      </w:tr>
      <w:tr>
        <w:trPr>
          <w:cantSplit/>
        </w:trPr>
        <w:tc>
          <w:tcPr>
            <w:tcW w:type="dxa" w:w="20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Client recurring refresh</w:t>
            </w:r>
          </w:p>
        </w:tc>
        <w:tc>
          <w:tcPr>
            <w:tcW w:type="dxa" w:w="18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Every 60 seconds + window focus</w:t>
            </w:r>
          </w:p>
        </w:tc>
        <w:tc>
          <w:tcPr>
            <w:tcW w:type="dxa" w:w="385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Reloads current recurring rules</w:t>
            </w:r>
          </w:p>
        </w:tc>
        <w:tc>
          <w:tcPr>
            <w:tcW w:type="dxa" w:w="25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Makes scheduler progress visible</w:t>
            </w:r>
          </w:p>
        </w:tc>
      </w:tr>
      <w:tr>
        <w:trPr>
          <w:cantSplit/>
        </w:trPr>
        <w:tc>
          <w:tcPr>
            <w:tcW w:type="dxa" w:w="20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Exchange-rate cache</w:t>
            </w:r>
          </w:p>
        </w:tc>
        <w:tc>
          <w:tcPr>
            <w:tcW w:type="dxa" w:w="18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On demand; default 15-minute TTL</w:t>
            </w:r>
          </w:p>
        </w:tc>
        <w:tc>
          <w:tcPr>
            <w:tcW w:type="dxa" w:w="385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Keeps the latest successful rate in memory</w:t>
            </w:r>
          </w:p>
        </w:tc>
        <w:tc>
          <w:tcPr>
            <w:tcW w:type="dxa" w:w="25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5"/>
              </w:rPr>
              <w:t>Cold restart loses cache; provider failure uses fallback</w:t>
            </w:r>
          </w:p>
        </w:tc>
      </w:tr>
    </w:tbl>
    <w:p>
      <w:pPr>
        <w:spacing w:after="20"/>
      </w:pPr>
    </w:p>
    <w:p>
      <w:pPr>
        <w:pStyle w:val="Heading2"/>
        <w:keepNext/>
        <w:spacing w:before="160" w:after="90"/>
      </w:pPr>
      <w:r>
        <w:rPr>
          <w:rFonts w:ascii="Helvetica Neue" w:hAnsi="Helvetica Neue"/>
          <w:b/>
          <w:color w:val="5B7085"/>
          <w:sz w:val="21"/>
        </w:rPr>
        <w:t>Logging and monitoring</w:t>
      </w:r>
    </w:p>
    <w:p>
      <w:pPr>
        <w:keepLines w:val="0"/>
        <w:spacing w:after="110" w:line="278" w:lineRule="auto"/>
      </w:pPr>
      <w:r>
        <w:rPr>
          <w:rFonts w:ascii="Helvetica Neue" w:hAnsi="Helvetica Neue"/>
          <w:i w:val="0"/>
          <w:color w:val="233447"/>
          <w:sz w:val="20"/>
        </w:rPr>
        <w:t>The project currently uses console logging for startup, schema/seed activity, rate updates/fallbacks, recurring processing, receipt cleanup, and route errors. There is no centralized metrics, tracing, alerting, or health dependency check. /api/health proves that Express can respond, not that the database or rate provider is healthy.</w:t>
      </w:r>
    </w:p>
    <w:p>
      <w:pPr>
        <w:pStyle w:val="Heading2"/>
        <w:keepNext/>
        <w:spacing w:before="160" w:after="90"/>
      </w:pPr>
      <w:r>
        <w:rPr>
          <w:rFonts w:ascii="Helvetica Neue" w:hAnsi="Helvetica Neue"/>
          <w:b/>
          <w:color w:val="5B7085"/>
          <w:sz w:val="21"/>
        </w:rPr>
        <w:t>Backup and recovery</w:t>
      </w:r>
    </w:p>
    <w:p>
      <w:pPr>
        <w:keepLines w:val="0"/>
        <w:spacing w:after="110" w:line="278" w:lineRule="auto"/>
      </w:pPr>
      <w:r>
        <w:rPr>
          <w:rFonts w:ascii="Helvetica Neue" w:hAnsi="Helvetica Neue"/>
          <w:i w:val="0"/>
          <w:color w:val="233447"/>
          <w:sz w:val="20"/>
        </w:rPr>
        <w:t>The user is reminded to export a backup after 1, 14, or 30 days. Export completion is recorded only after the browser successfully downloads the file and calls /backup/completed. Store backups outside the application host. Import replaces structured database records but does not carry receipt image bytes, so receipt metadata may reference files that are not present on a new host.</w:t>
      </w:r>
    </w:p>
    <w:p>
      <w:pPr>
        <w:pStyle w:val="Heading1"/>
        <w:keepNext/>
        <w:pageBreakBefore w:val="0"/>
        <w:spacing w:before="200" w:after="130"/>
      </w:pPr>
      <w:r>
        <w:rPr>
          <w:rFonts w:ascii="Helvetica Neue" w:hAnsi="Helvetica Neue"/>
          <w:b/>
          <w:color w:val="082A4A"/>
          <w:sz w:val="27"/>
        </w:rPr>
        <w:t>17.  How to Make a Safe Change</w:t>
      </w:r>
    </w:p>
    <w:p>
      <w:pPr>
        <w:pStyle w:val="Heading2"/>
        <w:keepNext/>
        <w:spacing w:before="160" w:after="90"/>
      </w:pPr>
      <w:r>
        <w:rPr>
          <w:rFonts w:ascii="Helvetica Neue" w:hAnsi="Helvetica Neue"/>
          <w:b/>
          <w:color w:val="5B7085"/>
          <w:sz w:val="21"/>
        </w:rPr>
        <w:t>Trace before editing</w:t>
      </w:r>
    </w:p>
    <w:p>
      <w:pPr>
        <w:keepLines w:val="0"/>
        <w:numPr>
          <w:ilvl w:val="0"/>
          <w:numId w:val="22"/>
        </w:numPr>
        <w:spacing w:after="50" w:line="278" w:lineRule="auto"/>
      </w:pPr>
      <w:r>
        <w:rPr>
          <w:rFonts w:ascii="Helvetica Neue" w:hAnsi="Helvetica Neue"/>
          <w:i w:val="0"/>
          <w:color w:val="233447"/>
          <w:sz w:val="20"/>
        </w:rPr>
        <w:t>Find the visible component or behavior reported by the user.</w:t>
      </w:r>
    </w:p>
    <w:p>
      <w:pPr>
        <w:keepLines w:val="0"/>
        <w:numPr>
          <w:ilvl w:val="0"/>
          <w:numId w:val="22"/>
        </w:numPr>
        <w:spacing w:after="50" w:line="278" w:lineRule="auto"/>
      </w:pPr>
      <w:r>
        <w:rPr>
          <w:rFonts w:ascii="Helvetica Neue" w:hAnsi="Helvetica Neue"/>
          <w:i w:val="0"/>
          <w:color w:val="233447"/>
          <w:sz w:val="20"/>
        </w:rPr>
        <w:t>Follow its prop callback into App or its feature hook.</w:t>
      </w:r>
    </w:p>
    <w:p>
      <w:pPr>
        <w:keepLines w:val="0"/>
        <w:numPr>
          <w:ilvl w:val="0"/>
          <w:numId w:val="22"/>
        </w:numPr>
        <w:spacing w:after="50" w:line="278" w:lineRule="auto"/>
      </w:pPr>
      <w:r>
        <w:rPr>
          <w:rFonts w:ascii="Helvetica Neue" w:hAnsi="Helvetica Neue"/>
          <w:i w:val="0"/>
          <w:color w:val="233447"/>
          <w:sz w:val="20"/>
        </w:rPr>
        <w:t>Find the corresponding services/api.ts function and exact HTTP contract.</w:t>
      </w:r>
    </w:p>
    <w:p>
      <w:pPr>
        <w:keepLines w:val="0"/>
        <w:numPr>
          <w:ilvl w:val="0"/>
          <w:numId w:val="22"/>
        </w:numPr>
        <w:spacing w:after="50" w:line="278" w:lineRule="auto"/>
      </w:pPr>
      <w:r>
        <w:rPr>
          <w:rFonts w:ascii="Helvetica Neue" w:hAnsi="Helvetica Neue"/>
          <w:i w:val="0"/>
          <w:color w:val="233447"/>
          <w:sz w:val="20"/>
        </w:rPr>
        <w:t>Follow the route through middleware, validation, services, utilities, and SQL.</w:t>
      </w:r>
    </w:p>
    <w:p>
      <w:pPr>
        <w:keepLines w:val="0"/>
        <w:numPr>
          <w:ilvl w:val="0"/>
          <w:numId w:val="22"/>
        </w:numPr>
        <w:spacing w:after="50" w:line="278" w:lineRule="auto"/>
      </w:pPr>
      <w:r>
        <w:rPr>
          <w:rFonts w:ascii="Helvetica Neue" w:hAnsi="Helvetica Neue"/>
          <w:i w:val="0"/>
          <w:color w:val="233447"/>
          <w:sz w:val="20"/>
        </w:rPr>
        <w:t>Search every caller of any shared function you plan to change so the fix lands at the common root when appropriate.</w:t>
      </w:r>
    </w:p>
    <w:p>
      <w:pPr>
        <w:keepLines w:val="0"/>
        <w:numPr>
          <w:ilvl w:val="0"/>
          <w:numId w:val="22"/>
        </w:numPr>
        <w:spacing w:after="50" w:line="278" w:lineRule="auto"/>
      </w:pPr>
      <w:r>
        <w:rPr>
          <w:rFonts w:ascii="Helvetica Neue" w:hAnsi="Helvetica Neue"/>
          <w:i w:val="0"/>
          <w:color w:val="233447"/>
          <w:sz w:val="20"/>
        </w:rPr>
        <w:t>Identify stored-data, money, time, security, and file side effects before writing code.</w:t>
      </w:r>
    </w:p>
    <w:p>
      <w:pPr>
        <w:spacing w:after="0"/>
      </w:pPr>
    </w:p>
    <w:p>
      <w:pPr>
        <w:pStyle w:val="Heading2"/>
        <w:keepNext/>
        <w:spacing w:before="160" w:after="90"/>
      </w:pPr>
      <w:r>
        <w:rPr>
          <w:rFonts w:ascii="Helvetica Neue" w:hAnsi="Helvetica Neue"/>
          <w:b/>
          <w:color w:val="5B7085"/>
          <w:sz w:val="21"/>
        </w:rPr>
        <w:t>Choose the smallest correct change</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2100"/>
        <w:gridCol w:w="4700"/>
        <w:gridCol w:w="3424"/>
      </w:tblGrid>
      <w:tr>
        <w:trPr>
          <w:tblHeader w:val="true"/>
        </w:trPr>
        <w:tc>
          <w:tcPr>
            <w:tcW w:type="dxa" w:w="21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Change type</w:t>
            </w:r>
          </w:p>
        </w:tc>
        <w:tc>
          <w:tcPr>
            <w:tcW w:type="dxa" w:w="47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Usually touch</w:t>
            </w:r>
          </w:p>
        </w:tc>
        <w:tc>
          <w:tcPr>
            <w:tcW w:type="dxa" w:w="342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Required checks</w:t>
            </w:r>
          </w:p>
        </w:tc>
      </w:tr>
      <w:tr>
        <w:trPr>
          <w:cantSplit/>
        </w:trPr>
        <w:tc>
          <w:tcPr>
            <w:tcW w:type="dxa" w:w="21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UI-only</w:t>
            </w:r>
          </w:p>
        </w:tc>
        <w:tc>
          <w:tcPr>
            <w:tcW w:type="dxa" w:w="47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One component plus App.css or index.css</w:t>
            </w:r>
          </w:p>
        </w:tc>
        <w:tc>
          <w:tcPr>
            <w:tcW w:type="dxa" w:w="34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Accessibility, responsive layout, lint, build</w:t>
            </w:r>
          </w:p>
        </w:tc>
      </w:tr>
      <w:tr>
        <w:trPr>
          <w:cantSplit/>
        </w:trPr>
        <w:tc>
          <w:tcPr>
            <w:tcW w:type="dxa" w:w="21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Client data flow</w:t>
            </w:r>
          </w:p>
        </w:tc>
        <w:tc>
          <w:tcPr>
            <w:tcW w:type="dxa" w:w="47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Component/App, one hook, services/api.ts, types.ts</w:t>
            </w:r>
          </w:p>
        </w:tc>
        <w:tc>
          <w:tcPr>
            <w:tcW w:type="dxa" w:w="34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Loading/error state, credentials, lint, build</w:t>
            </w:r>
          </w:p>
        </w:tc>
      </w:tr>
      <w:tr>
        <w:trPr>
          <w:cantSplit/>
        </w:trPr>
        <w:tc>
          <w:tcPr>
            <w:tcW w:type="dxa" w:w="21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API behavior</w:t>
            </w:r>
          </w:p>
        </w:tc>
        <w:tc>
          <w:tcPr>
            <w:tcW w:type="dxa" w:w="47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Route plus an existing service/utility when reusable</w:t>
            </w:r>
          </w:p>
        </w:tc>
        <w:tc>
          <w:tcPr>
            <w:tcW w:type="dxa" w:w="34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Boundary validation, status shape, relevant server test</w:t>
            </w:r>
          </w:p>
        </w:tc>
      </w:tr>
      <w:tr>
        <w:trPr>
          <w:cantSplit/>
        </w:trPr>
        <w:tc>
          <w:tcPr>
            <w:tcW w:type="dxa" w:w="21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Database field/table</w:t>
            </w:r>
          </w:p>
        </w:tc>
        <w:tc>
          <w:tcPr>
            <w:tcW w:type="dxa" w:w="47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schema.sql, database readers/writers, API/client types, backup compatibility</w:t>
            </w:r>
          </w:p>
        </w:tc>
        <w:tc>
          <w:tcPr>
            <w:tcW w:type="dxa" w:w="34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Migration safety, old data, import/export, tests</w:t>
            </w:r>
          </w:p>
        </w:tc>
      </w:tr>
      <w:tr>
        <w:trPr>
          <w:cantSplit/>
        </w:trPr>
        <w:tc>
          <w:tcPr>
            <w:tcW w:type="dxa" w:w="21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Money or time</w:t>
            </w:r>
          </w:p>
        </w:tc>
        <w:tc>
          <w:tcPr>
            <w:tcW w:type="dxa" w:w="47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Existing exchangeRate/expenseRecords/datetime helpers</w:t>
            </w:r>
          </w:p>
        </w:tc>
        <w:tc>
          <w:tcPr>
            <w:tcW w:type="dxa" w:w="342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Both currencies, stored rate, UTC+8 edges, one runnable check</w:t>
            </w:r>
          </w:p>
        </w:tc>
      </w:tr>
      <w:tr>
        <w:trPr>
          <w:cantSplit/>
        </w:trPr>
        <w:tc>
          <w:tcPr>
            <w:tcW w:type="dxa" w:w="210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Auth/upload/reset</w:t>
            </w:r>
          </w:p>
        </w:tc>
        <w:tc>
          <w:tcPr>
            <w:tcW w:type="dxa" w:w="47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Security middleware/utilities and focused route/service</w:t>
            </w:r>
          </w:p>
        </w:tc>
        <w:tc>
          <w:tcPr>
            <w:tcW w:type="dxa" w:w="342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Fail closed, rate limits, rollback, security tests</w:t>
            </w:r>
          </w:p>
        </w:tc>
      </w:tr>
    </w:tbl>
    <w:p>
      <w:pPr>
        <w:spacing w:after="20"/>
      </w:pPr>
    </w:p>
    <w:p>
      <w:pPr>
        <w:pStyle w:val="Heading2"/>
        <w:keepNext/>
        <w:spacing w:before="160" w:after="90"/>
      </w:pPr>
      <w:r>
        <w:rPr>
          <w:rFonts w:ascii="Helvetica Neue" w:hAnsi="Helvetica Neue"/>
          <w:b/>
          <w:color w:val="5B7085"/>
          <w:sz w:val="21"/>
        </w:rPr>
        <w:t>Definition of done</w:t>
      </w:r>
    </w:p>
    <w:p>
      <w:pPr>
        <w:keepLines w:val="0"/>
        <w:numPr>
          <w:ilvl w:val="0"/>
          <w:numId w:val="23"/>
        </w:numPr>
        <w:spacing w:after="50" w:line="278" w:lineRule="auto"/>
      </w:pPr>
      <w:r>
        <w:rPr>
          <w:rFonts w:ascii="Helvetica Neue" w:hAnsi="Helvetica Neue"/>
          <w:i w:val="0"/>
          <w:color w:val="233447"/>
          <w:sz w:val="20"/>
        </w:rPr>
        <w:t>The change is complete, contains no TODO or placeholder behavior, and follows existing file boundaries.</w:t>
      </w:r>
    </w:p>
    <w:p>
      <w:pPr>
        <w:keepLines w:val="0"/>
        <w:numPr>
          <w:ilvl w:val="0"/>
          <w:numId w:val="23"/>
        </w:numPr>
        <w:spacing w:after="50" w:line="278" w:lineRule="auto"/>
      </w:pPr>
      <w:r>
        <w:rPr>
          <w:rFonts w:ascii="Helvetica Neue" w:hAnsi="Helvetica Neue"/>
          <w:i w:val="0"/>
          <w:color w:val="233447"/>
          <w:sz w:val="20"/>
        </w:rPr>
        <w:t>Untrusted input is validated at the route; SQL arguments remain separate from SQL text except allowlisted identifiers such as sort columns.</w:t>
      </w:r>
    </w:p>
    <w:p>
      <w:pPr>
        <w:keepLines w:val="0"/>
        <w:numPr>
          <w:ilvl w:val="0"/>
          <w:numId w:val="23"/>
        </w:numPr>
        <w:spacing w:after="50" w:line="278" w:lineRule="auto"/>
      </w:pPr>
      <w:r>
        <w:rPr>
          <w:rFonts w:ascii="Helvetica Neue" w:hAnsi="Helvetica Neue"/>
          <w:i w:val="0"/>
          <w:color w:val="233447"/>
          <w:sz w:val="20"/>
        </w:rPr>
        <w:t>MYR/IDR conversion and UTC+8 timestamp invariants remain intact.</w:t>
      </w:r>
    </w:p>
    <w:p>
      <w:pPr>
        <w:keepLines w:val="0"/>
        <w:numPr>
          <w:ilvl w:val="0"/>
          <w:numId w:val="23"/>
        </w:numPr>
        <w:spacing w:after="50" w:line="278" w:lineRule="auto"/>
      </w:pPr>
      <w:r>
        <w:rPr>
          <w:rFonts w:ascii="Helvetica Neue" w:hAnsi="Helvetica Neue"/>
          <w:i w:val="0"/>
          <w:color w:val="233447"/>
          <w:sz w:val="20"/>
        </w:rPr>
        <w:t>Authentication, CORS, cookie credentials, rate limits, and environment selection still work.</w:t>
      </w:r>
    </w:p>
    <w:p>
      <w:pPr>
        <w:keepLines w:val="0"/>
        <w:numPr>
          <w:ilvl w:val="0"/>
          <w:numId w:val="23"/>
        </w:numPr>
        <w:spacing w:after="50" w:line="278" w:lineRule="auto"/>
      </w:pPr>
      <w:r>
        <w:rPr>
          <w:rFonts w:ascii="Helvetica Neue" w:hAnsi="Helvetica Neue"/>
          <w:i w:val="0"/>
          <w:color w:val="233447"/>
          <w:sz w:val="20"/>
        </w:rPr>
        <w:t>Client lint/build and the smallest relevant server checks pass.</w:t>
      </w:r>
    </w:p>
    <w:p>
      <w:pPr>
        <w:keepLines w:val="0"/>
        <w:numPr>
          <w:ilvl w:val="0"/>
          <w:numId w:val="23"/>
        </w:numPr>
        <w:spacing w:after="50" w:line="278" w:lineRule="auto"/>
      </w:pPr>
      <w:r>
        <w:rPr>
          <w:rFonts w:ascii="Helvetica Neue" w:hAnsi="Helvetica Neue"/>
          <w:i w:val="0"/>
          <w:color w:val="233447"/>
          <w:sz w:val="20"/>
        </w:rPr>
        <w:t>A manual smoke path verifies the user-visible outcome and one important failure case.</w:t>
      </w:r>
    </w:p>
    <w:p>
      <w:pPr>
        <w:spacing w:after="0"/>
      </w:pPr>
    </w:p>
    <w:p>
      <w:pPr>
        <w:pStyle w:val="Heading1"/>
        <w:keepNext/>
        <w:pageBreakBefore w:val="0"/>
        <w:spacing w:before="200" w:after="130"/>
      </w:pPr>
      <w:r>
        <w:rPr>
          <w:rFonts w:ascii="Helvetica Neue" w:hAnsi="Helvetica Neue"/>
          <w:b/>
          <w:color w:val="082A4A"/>
          <w:sz w:val="27"/>
        </w:rPr>
        <w:t>18.  Troubleshooting</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3150"/>
        <w:gridCol w:w="7074"/>
      </w:tblGrid>
      <w:tr>
        <w:trPr>
          <w:tblHeader w:val="true"/>
        </w:trPr>
        <w:tc>
          <w:tcPr>
            <w:tcW w:type="dxa" w:w="315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Symptom</w:t>
            </w:r>
          </w:p>
        </w:tc>
        <w:tc>
          <w:tcPr>
            <w:tcW w:type="dxa" w:w="707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Likely cause and first check</w:t>
            </w:r>
          </w:p>
        </w:tc>
      </w:tr>
      <w:tr>
        <w:trPr>
          <w:cantSplit/>
        </w:trPr>
        <w:tc>
          <w:tcPr>
            <w:tcW w:type="dxa" w:w="3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Client stops before rendering</w:t>
            </w:r>
          </w:p>
        </w:tc>
        <w:tc>
          <w:tcPr>
            <w:tcW w:type="dxa" w:w="70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VITE_API_URL is missing or invalid. Check client/.env.development and restart Vite.</w:t>
            </w:r>
          </w:p>
        </w:tc>
      </w:tr>
      <w:tr>
        <w:trPr>
          <w:cantSplit/>
        </w:trPr>
        <w:tc>
          <w:tcPr>
            <w:tcW w:type="dxa" w:w="3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Server refuses development startup</w:t>
            </w:r>
          </w:p>
        </w:tc>
        <w:tc>
          <w:tcPr>
            <w:tcW w:type="dxa" w:w="70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DB_PATH or CLIENT_ORIGIN is missing, or the database URL resolved to a non-file protocol.</w:t>
            </w:r>
          </w:p>
        </w:tc>
      </w:tr>
      <w:tr>
        <w:trPr>
          <w:cantSplit/>
        </w:trPr>
        <w:tc>
          <w:tcPr>
            <w:tcW w:type="dxa" w:w="3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Server says authentication is not configured</w:t>
            </w:r>
          </w:p>
        </w:tc>
        <w:tc>
          <w:tcPr>
            <w:tcW w:type="dxa" w:w="70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Check username whitespace, bcrypt hash format/cost, and a random 32-byte session secret.</w:t>
            </w:r>
          </w:p>
        </w:tc>
      </w:tr>
      <w:tr>
        <w:trPr>
          <w:cantSplit/>
        </w:trPr>
        <w:tc>
          <w:tcPr>
            <w:tcW w:type="dxa" w:w="3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Login succeeds then immediately returns to login</w:t>
            </w:r>
          </w:p>
        </w:tc>
        <w:tc>
          <w:tcPr>
            <w:tcW w:type="dxa" w:w="70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Inspect cookie delivery, HTTPS, SameSite behavior, API/client domains, and clock/expiry.</w:t>
            </w:r>
          </w:p>
        </w:tc>
      </w:tr>
      <w:tr>
        <w:trPr>
          <w:cantSplit/>
        </w:trPr>
        <w:tc>
          <w:tcPr>
            <w:tcW w:type="dxa" w:w="3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Browser receives 403 Request not allowed</w:t>
            </w:r>
          </w:p>
        </w:tc>
        <w:tc>
          <w:tcPr>
            <w:tcW w:type="dxa" w:w="70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CLIENT_ORIGIN does not exactly match the browser Origin, or the state-changing request lacks Origin/Referer.</w:t>
            </w:r>
          </w:p>
        </w:tc>
      </w:tr>
      <w:tr>
        <w:trPr>
          <w:cantSplit/>
        </w:trPr>
        <w:tc>
          <w:tcPr>
            <w:tcW w:type="dxa" w:w="3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Browser receives 429</w:t>
            </w:r>
          </w:p>
        </w:tc>
        <w:tc>
          <w:tcPr>
            <w:tcW w:type="dxa" w:w="70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 global or route-specific rate limit was reached. Read RateLimit and Retry-After headers.</w:t>
            </w:r>
          </w:p>
        </w:tc>
      </w:tr>
      <w:tr>
        <w:trPr>
          <w:cantSplit/>
        </w:trPr>
        <w:tc>
          <w:tcPr>
            <w:tcW w:type="dxa" w:w="3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Exchange rate shows fallback</w:t>
            </w:r>
          </w:p>
        </w:tc>
        <w:tc>
          <w:tcPr>
            <w:tcW w:type="dxa" w:w="70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Provider request failed or returned no rates.IDR. Check EXCHANGE_RATE_API_URL and outbound network access.</w:t>
            </w:r>
          </w:p>
        </w:tc>
      </w:tr>
      <w:tr>
        <w:trPr>
          <w:cantSplit/>
        </w:trPr>
        <w:tc>
          <w:tcPr>
            <w:tcW w:type="dxa" w:w="3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Receipt upload is rejected</w:t>
            </w:r>
          </w:p>
        </w:tc>
        <w:tc>
          <w:tcPr>
            <w:tcW w:type="dxa" w:w="70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File is over 10 MB, MIME is unsupported, or its signature does not match JPEG/PNG/WebP/HEIC/HEIF.</w:t>
            </w:r>
          </w:p>
        </w:tc>
      </w:tr>
      <w:tr>
        <w:trPr>
          <w:cantSplit/>
        </w:trPr>
        <w:tc>
          <w:tcPr>
            <w:tcW w:type="dxa" w:w="3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Receipt image returns 404</w:t>
            </w:r>
          </w:p>
        </w:tc>
        <w:tc>
          <w:tcPr>
            <w:tcW w:type="dxa" w:w="70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Metadata exists but the file is absent/expired, or the stored filename failed safe-path checks.</w:t>
            </w:r>
          </w:p>
        </w:tc>
      </w:tr>
      <w:tr>
        <w:trPr>
          <w:cantSplit/>
        </w:trPr>
        <w:tc>
          <w:tcPr>
            <w:tcW w:type="dxa" w:w="3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XLSX import is rejected</w:t>
            </w:r>
          </w:p>
        </w:tc>
        <w:tc>
          <w:tcPr>
            <w:tcW w:type="dxa" w:w="70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The workbook version/schema/headers/row markers changed, contains formulas, or exceeds safety limits.</w:t>
            </w:r>
          </w:p>
        </w:tc>
      </w:tr>
      <w:tr>
        <w:trPr>
          <w:cantSplit/>
        </w:trPr>
        <w:tc>
          <w:tcPr>
            <w:tcW w:type="dxa" w:w="3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Recurring payment did not appear</w:t>
            </w:r>
          </w:p>
        </w:tc>
        <w:tc>
          <w:tcPr>
            <w:tcW w:type="dxa" w:w="70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Rule may be paused/cancelled, next_run_at is future, scheduler process is not running, or category/rate processing failed.</w:t>
            </w:r>
          </w:p>
        </w:tc>
      </w:tr>
      <w:tr>
        <w:trPr>
          <w:cantSplit/>
        </w:trPr>
        <w:tc>
          <w:tcPr>
            <w:tcW w:type="dxa" w:w="31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Dashboard looks stale</w:t>
            </w:r>
          </w:p>
        </w:tc>
        <w:tc>
          <w:tcPr>
            <w:tcW w:type="dxa" w:w="70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Wait for the 60-second refresh, focus the window, or inspect /summary and the active expense filters.</w:t>
            </w:r>
          </w:p>
        </w:tc>
      </w:tr>
    </w:tbl>
    <w:p>
      <w:pPr>
        <w:spacing w:after="20"/>
      </w:pPr>
    </w:p>
    <w:p>
      <w:pPr>
        <w:pStyle w:val="Heading1"/>
        <w:keepNext/>
        <w:pageBreakBefore w:val="0"/>
        <w:spacing w:before="200" w:after="130"/>
      </w:pPr>
      <w:r>
        <w:rPr>
          <w:rFonts w:ascii="Helvetica Neue" w:hAnsi="Helvetica Neue"/>
          <w:b/>
          <w:color w:val="082A4A"/>
          <w:sz w:val="27"/>
        </w:rPr>
        <w:t>19.  Tradeoffs and Known Limits</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2850"/>
        <w:gridCol w:w="3300"/>
        <w:gridCol w:w="4074"/>
      </w:tblGrid>
      <w:tr>
        <w:trPr>
          <w:tblHeader w:val="true"/>
        </w:trPr>
        <w:tc>
          <w:tcPr>
            <w:tcW w:type="dxa" w:w="285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Decision</w:t>
            </w:r>
          </w:p>
        </w:tc>
        <w:tc>
          <w:tcPr>
            <w:tcW w:type="dxa" w:w="330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Benefit</w:t>
            </w:r>
          </w:p>
        </w:tc>
        <w:tc>
          <w:tcPr>
            <w:tcW w:type="dxa" w:w="407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Ceiling / when to revisit</w:t>
            </w:r>
          </w:p>
        </w:tc>
      </w:tr>
      <w:tr>
        <w:trPr>
          <w:cantSplit/>
        </w:trPr>
        <w:tc>
          <w:tcPr>
            <w:tcW w:type="dxa" w:w="28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Single administrator</w:t>
            </w:r>
          </w:p>
        </w:tc>
        <w:tc>
          <w:tcPr>
            <w:tcW w:type="dxa" w:w="33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Simple authentication and backup ownership</w:t>
            </w:r>
          </w:p>
        </w:tc>
        <w:tc>
          <w:tcPr>
            <w:tcW w:type="dxa" w:w="40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Add real user/tenant tables before multi-user sharing</w:t>
            </w:r>
          </w:p>
        </w:tc>
      </w:tr>
      <w:tr>
        <w:trPr>
          <w:cantSplit/>
        </w:trPr>
        <w:tc>
          <w:tcPr>
            <w:tcW w:type="dxa" w:w="28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Process-local rate cache</w:t>
            </w:r>
          </w:p>
        </w:tc>
        <w:tc>
          <w:tcPr>
            <w:tcW w:type="dxa" w:w="33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Minimal code and fewer provider calls</w:t>
            </w:r>
          </w:p>
        </w:tc>
        <w:tc>
          <w:tcPr>
            <w:tcW w:type="dxa" w:w="40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Use shared cache only if multiple API instances need consistent metadata</w:t>
            </w:r>
          </w:p>
        </w:tc>
      </w:tr>
      <w:tr>
        <w:trPr>
          <w:cantSplit/>
        </w:trPr>
        <w:tc>
          <w:tcPr>
            <w:tcW w:type="dxa" w:w="28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Process-local reset intent</w:t>
            </w:r>
          </w:p>
        </w:tc>
        <w:tc>
          <w:tcPr>
            <w:tcW w:type="dxa" w:w="33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Fails closed on restart and stays simple</w:t>
            </w:r>
          </w:p>
        </w:tc>
        <w:tc>
          <w:tcPr>
            <w:tcW w:type="dxa" w:w="40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Move to shared storage before running multiple API instances</w:t>
            </w:r>
          </w:p>
        </w:tc>
      </w:tr>
      <w:tr>
        <w:trPr>
          <w:cantSplit/>
        </w:trPr>
        <w:tc>
          <w:tcPr>
            <w:tcW w:type="dxa" w:w="28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setInterval schedulers</w:t>
            </w:r>
          </w:p>
        </w:tc>
        <w:tc>
          <w:tcPr>
            <w:tcW w:type="dxa" w:w="33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Works for one continuously running API</w:t>
            </w:r>
          </w:p>
        </w:tc>
        <w:tc>
          <w:tcPr>
            <w:tcW w:type="dxa" w:w="40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Use a durable job system when instances scale, sleep, or restart often</w:t>
            </w:r>
          </w:p>
        </w:tc>
      </w:tr>
      <w:tr>
        <w:trPr>
          <w:cantSplit/>
        </w:trPr>
        <w:tc>
          <w:tcPr>
            <w:tcW w:type="dxa" w:w="28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Receipt filesystem</w:t>
            </w:r>
          </w:p>
        </w:tc>
        <w:tc>
          <w:tcPr>
            <w:tcW w:type="dxa" w:w="33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Straightforward short-retention storage</w:t>
            </w:r>
          </w:p>
        </w:tc>
        <w:tc>
          <w:tcPr>
            <w:tcW w:type="dxa" w:w="40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Use object storage when hosts are ephemeral or horizontally scaled</w:t>
            </w:r>
          </w:p>
        </w:tc>
      </w:tr>
      <w:tr>
        <w:trPr>
          <w:cantSplit/>
        </w:trPr>
        <w:tc>
          <w:tcPr>
            <w:tcW w:type="dxa" w:w="28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Manual XLSX backup</w:t>
            </w:r>
          </w:p>
        </w:tc>
        <w:tc>
          <w:tcPr>
            <w:tcW w:type="dxa" w:w="33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Portable, inspectable, and versioned</w:t>
            </w:r>
          </w:p>
        </w:tc>
        <w:tc>
          <w:tcPr>
            <w:tcW w:type="dxa" w:w="40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Add automated encrypted backup only when restore ownership and storage are defined</w:t>
            </w:r>
          </w:p>
        </w:tc>
      </w:tr>
      <w:tr>
        <w:trPr>
          <w:cantSplit/>
        </w:trPr>
        <w:tc>
          <w:tcPr>
            <w:tcW w:type="dxa" w:w="28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Derived dashboard queries</w:t>
            </w:r>
          </w:p>
        </w:tc>
        <w:tc>
          <w:tcPr>
            <w:tcW w:type="dxa" w:w="3300"/>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No separate analytics pipeline or stale aggregates</w:t>
            </w:r>
          </w:p>
        </w:tc>
        <w:tc>
          <w:tcPr>
            <w:tcW w:type="dxa" w:w="40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Precompute only after measured query cost becomes a problem</w:t>
            </w:r>
          </w:p>
        </w:tc>
      </w:tr>
      <w:tr>
        <w:trPr>
          <w:cantSplit/>
        </w:trPr>
        <w:tc>
          <w:tcPr>
            <w:tcW w:type="dxa" w:w="28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Category names stored on expenses</w:t>
            </w:r>
          </w:p>
        </w:tc>
        <w:tc>
          <w:tcPr>
            <w:tcW w:type="dxa" w:w="3300"/>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Historical rows remain readable without joins</w:t>
            </w:r>
          </w:p>
        </w:tc>
        <w:tc>
          <w:tcPr>
            <w:tcW w:type="dxa" w:w="40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 stable category ID migration is needed for stricter referential semantics</w:t>
            </w:r>
          </w:p>
        </w:tc>
      </w:tr>
    </w:tbl>
    <w:p>
      <w:pPr>
        <w:spacing w:after="20"/>
      </w:pPr>
    </w:p>
    <w:p>
      <w:pPr>
        <w:pStyle w:val="Heading1"/>
        <w:keepNext/>
        <w:pageBreakBefore w:val="0"/>
        <w:spacing w:before="200" w:after="130"/>
      </w:pPr>
      <w:r>
        <w:rPr>
          <w:rFonts w:ascii="Helvetica Neue" w:hAnsi="Helvetica Neue"/>
          <w:b/>
          <w:color w:val="082A4A"/>
          <w:sz w:val="27"/>
        </w:rPr>
        <w:t>20.  First-Week Onboarding Checklist</w:t>
      </w:r>
    </w:p>
    <w:p>
      <w:pPr>
        <w:pStyle w:val="Heading2"/>
        <w:keepNext/>
        <w:spacing w:before="160" w:after="90"/>
      </w:pPr>
      <w:r>
        <w:rPr>
          <w:rFonts w:ascii="Helvetica Neue" w:hAnsi="Helvetica Neue"/>
          <w:b/>
          <w:color w:val="5B7085"/>
          <w:sz w:val="21"/>
        </w:rPr>
        <w:t>Day 1: establish the mental model</w:t>
      </w:r>
    </w:p>
    <w:p>
      <w:pPr>
        <w:keepLines w:val="0"/>
        <w:numPr>
          <w:ilvl w:val="0"/>
          <w:numId w:val="24"/>
        </w:numPr>
        <w:spacing w:after="50" w:line="278" w:lineRule="auto"/>
      </w:pPr>
      <w:r>
        <w:rPr>
          <w:rFonts w:ascii="Helvetica Neue" w:hAnsi="Helvetica Neue"/>
          <w:i w:val="0"/>
          <w:color w:val="233447"/>
          <w:sz w:val="20"/>
        </w:rPr>
        <w:t>Run the server and client locally and verify /api/health and sign-in.</w:t>
      </w:r>
    </w:p>
    <w:p>
      <w:pPr>
        <w:keepLines w:val="0"/>
        <w:numPr>
          <w:ilvl w:val="0"/>
          <w:numId w:val="24"/>
        </w:numPr>
        <w:spacing w:after="50" w:line="278" w:lineRule="auto"/>
      </w:pPr>
      <w:r>
        <w:rPr>
          <w:rFonts w:ascii="Helvetica Neue" w:hAnsi="Helvetica Neue"/>
          <w:i w:val="0"/>
          <w:color w:val="233447"/>
          <w:sz w:val="20"/>
        </w:rPr>
        <w:t>Read client/src/App.tsx, client/src/services/api.ts, server/server.js, and server/db/schema.sql.</w:t>
      </w:r>
    </w:p>
    <w:p>
      <w:pPr>
        <w:keepLines w:val="0"/>
        <w:numPr>
          <w:ilvl w:val="0"/>
          <w:numId w:val="24"/>
        </w:numPr>
        <w:spacing w:after="50" w:line="278" w:lineRule="auto"/>
      </w:pPr>
      <w:r>
        <w:rPr>
          <w:rFonts w:ascii="Helvetica Neue" w:hAnsi="Helvetica Neue"/>
          <w:i w:val="0"/>
          <w:color w:val="233447"/>
          <w:sz w:val="20"/>
        </w:rPr>
        <w:t>Trace one GET request and one POST request from component to database and back.</w:t>
      </w:r>
    </w:p>
    <w:p>
      <w:pPr>
        <w:spacing w:after="0"/>
      </w:pPr>
    </w:p>
    <w:p>
      <w:pPr>
        <w:pStyle w:val="Heading2"/>
        <w:keepNext/>
        <w:spacing w:before="160" w:after="90"/>
      </w:pPr>
      <w:r>
        <w:rPr>
          <w:rFonts w:ascii="Helvetica Neue" w:hAnsi="Helvetica Neue"/>
          <w:b/>
          <w:color w:val="5B7085"/>
          <w:sz w:val="21"/>
        </w:rPr>
        <w:t>Day 2: understand the representative money path</w:t>
      </w:r>
    </w:p>
    <w:p>
      <w:pPr>
        <w:keepLines w:val="0"/>
        <w:numPr>
          <w:ilvl w:val="0"/>
          <w:numId w:val="25"/>
        </w:numPr>
        <w:spacing w:after="50" w:line="278" w:lineRule="auto"/>
      </w:pPr>
      <w:r>
        <w:rPr>
          <w:rFonts w:ascii="Helvetica Neue" w:hAnsi="Helvetica Neue"/>
          <w:i w:val="0"/>
          <w:color w:val="233447"/>
          <w:sz w:val="20"/>
        </w:rPr>
        <w:t>Read ExpenseForm, useExpenses, expenses.js, expenseRecords.js, exchangeRate.js, and datetime.js.</w:t>
      </w:r>
    </w:p>
    <w:p>
      <w:pPr>
        <w:keepLines w:val="0"/>
        <w:numPr>
          <w:ilvl w:val="0"/>
          <w:numId w:val="25"/>
        </w:numPr>
        <w:spacing w:after="50" w:line="278" w:lineRule="auto"/>
      </w:pPr>
      <w:r>
        <w:rPr>
          <w:rFonts w:ascii="Helvetica Neue" w:hAnsi="Helvetica Neue"/>
          <w:i w:val="0"/>
          <w:color w:val="233447"/>
          <w:sz w:val="20"/>
        </w:rPr>
        <w:t>Add disposable local expenses in both currencies and inspect their stored fields.</w:t>
      </w:r>
    </w:p>
    <w:p>
      <w:pPr>
        <w:keepLines w:val="0"/>
        <w:numPr>
          <w:ilvl w:val="0"/>
          <w:numId w:val="25"/>
        </w:numPr>
        <w:spacing w:after="50" w:line="278" w:lineRule="auto"/>
      </w:pPr>
      <w:r>
        <w:rPr>
          <w:rFonts w:ascii="Helvetica Neue" w:hAnsi="Helvetica Neue"/>
          <w:i w:val="0"/>
          <w:color w:val="233447"/>
          <w:sz w:val="20"/>
        </w:rPr>
        <w:t>Confirm the dashboard sums stored amounts and the history filter uses UTC+8 boundaries.</w:t>
      </w:r>
    </w:p>
    <w:p>
      <w:pPr>
        <w:spacing w:after="0"/>
      </w:pPr>
    </w:p>
    <w:p>
      <w:pPr>
        <w:pStyle w:val="Heading2"/>
        <w:keepNext/>
        <w:spacing w:before="160" w:after="90"/>
      </w:pPr>
      <w:r>
        <w:rPr>
          <w:rFonts w:ascii="Helvetica Neue" w:hAnsi="Helvetica Neue"/>
          <w:b/>
          <w:color w:val="5B7085"/>
          <w:sz w:val="21"/>
        </w:rPr>
        <w:t>Day 3: understand safety mechanisms</w:t>
      </w:r>
    </w:p>
    <w:p>
      <w:pPr>
        <w:keepLines w:val="0"/>
        <w:numPr>
          <w:ilvl w:val="0"/>
          <w:numId w:val="26"/>
        </w:numPr>
        <w:spacing w:after="50" w:line="278" w:lineRule="auto"/>
      </w:pPr>
      <w:r>
        <w:rPr>
          <w:rFonts w:ascii="Helvetica Neue" w:hAnsi="Helvetica Neue"/>
          <w:i w:val="0"/>
          <w:color w:val="233447"/>
          <w:sz w:val="20"/>
        </w:rPr>
        <w:t>Read auth.js, utils/auth.js, middleware/security.js, receipts.js, and exportWorkbook.js.</w:t>
      </w:r>
    </w:p>
    <w:p>
      <w:pPr>
        <w:keepLines w:val="0"/>
        <w:numPr>
          <w:ilvl w:val="0"/>
          <w:numId w:val="26"/>
        </w:numPr>
        <w:spacing w:after="50" w:line="278" w:lineRule="auto"/>
      </w:pPr>
      <w:r>
        <w:rPr>
          <w:rFonts w:ascii="Helvetica Neue" w:hAnsi="Helvetica Neue"/>
          <w:i w:val="0"/>
          <w:color w:val="233447"/>
          <w:sz w:val="20"/>
        </w:rPr>
        <w:t>Run the server security and environment tests.</w:t>
      </w:r>
    </w:p>
    <w:p>
      <w:pPr>
        <w:keepLines w:val="0"/>
        <w:numPr>
          <w:ilvl w:val="0"/>
          <w:numId w:val="26"/>
        </w:numPr>
        <w:spacing w:after="50" w:line="278" w:lineRule="auto"/>
      </w:pPr>
      <w:r>
        <w:rPr>
          <w:rFonts w:ascii="Helvetica Neue" w:hAnsi="Helvetica Neue"/>
          <w:i w:val="0"/>
          <w:color w:val="233447"/>
          <w:sz w:val="20"/>
        </w:rPr>
        <w:t>Explain aloud why the session cookie is HttpOnly and why trusted-origin checks are still required.</w:t>
      </w:r>
    </w:p>
    <w:p>
      <w:pPr>
        <w:spacing w:after="0"/>
      </w:pPr>
    </w:p>
    <w:p>
      <w:pPr>
        <w:pStyle w:val="Heading2"/>
        <w:keepNext/>
        <w:spacing w:before="160" w:after="90"/>
      </w:pPr>
      <w:r>
        <w:rPr>
          <w:rFonts w:ascii="Helvetica Neue" w:hAnsi="Helvetica Neue"/>
          <w:b/>
          <w:color w:val="5B7085"/>
          <w:sz w:val="21"/>
        </w:rPr>
        <w:t>Day 4-5: make one small change</w:t>
      </w:r>
    </w:p>
    <w:p>
      <w:pPr>
        <w:keepLines w:val="0"/>
        <w:numPr>
          <w:ilvl w:val="0"/>
          <w:numId w:val="27"/>
        </w:numPr>
        <w:spacing w:after="50" w:line="278" w:lineRule="auto"/>
      </w:pPr>
      <w:r>
        <w:rPr>
          <w:rFonts w:ascii="Helvetica Neue" w:hAnsi="Helvetica Neue"/>
          <w:i w:val="0"/>
          <w:color w:val="233447"/>
          <w:sz w:val="20"/>
        </w:rPr>
        <w:t>Choose a low-risk UI or error-message improvement with a clear acceptance condition.</w:t>
      </w:r>
    </w:p>
    <w:p>
      <w:pPr>
        <w:keepLines w:val="0"/>
        <w:numPr>
          <w:ilvl w:val="0"/>
          <w:numId w:val="27"/>
        </w:numPr>
        <w:spacing w:after="50" w:line="278" w:lineRule="auto"/>
      </w:pPr>
      <w:r>
        <w:rPr>
          <w:rFonts w:ascii="Helvetica Neue" w:hAnsi="Helvetica Neue"/>
          <w:i w:val="0"/>
          <w:color w:val="233447"/>
          <w:sz w:val="20"/>
        </w:rPr>
        <w:t>Trace all touched callers, make the smallest correct diff, and run the relevant checks.</w:t>
      </w:r>
    </w:p>
    <w:p>
      <w:pPr>
        <w:keepLines w:val="0"/>
        <w:numPr>
          <w:ilvl w:val="0"/>
          <w:numId w:val="27"/>
        </w:numPr>
        <w:spacing w:after="50" w:line="278" w:lineRule="auto"/>
      </w:pPr>
      <w:r>
        <w:rPr>
          <w:rFonts w:ascii="Helvetica Neue" w:hAnsi="Helvetica Neue"/>
          <w:i w:val="0"/>
          <w:color w:val="233447"/>
          <w:sz w:val="20"/>
        </w:rPr>
        <w:t>Ask a maintainer to review your understanding of the data flow as well as the code change.</w:t>
      </w:r>
    </w:p>
    <w:p>
      <w:pPr>
        <w:spacing w:after="0"/>
      </w:pPr>
    </w:p>
    <w:p>
      <w:pPr>
        <w:spacing w:before="80" w:after="140" w:line="269" w:lineRule="auto"/>
        <w:ind w:left="173" w:right="173"/>
        <w:shd w:fill="EEF5FA"/>
        <w:pBdr>
          <w:left w:val="single" w:sz="16" w:space="10" w:color="2D74A8"/>
        </w:pBdr>
      </w:pPr>
      <w:r>
        <w:rPr>
          <w:rFonts w:ascii="Helvetica Neue" w:hAnsi="Helvetica Neue"/>
          <w:b/>
          <w:color w:val="082A4A"/>
          <w:sz w:val="19"/>
        </w:rPr>
        <w:t xml:space="preserve">You are ready for feature work when  </w:t>
      </w:r>
      <w:r>
        <w:rPr>
          <w:rFonts w:ascii="Helvetica Neue" w:hAnsi="Helvetica Neue"/>
          <w:color w:val="233447"/>
          <w:sz w:val="19"/>
        </w:rPr>
        <w:t>you can identify the owning component, hook, api.ts function, route, service, table, security boundary, and refresh path for the change before editing.</w:t>
      </w:r>
    </w:p>
    <w:p>
      <w:pPr>
        <w:pStyle w:val="Heading1"/>
        <w:keepNext/>
        <w:pageBreakBefore w:val="0"/>
        <w:spacing w:before="200" w:after="130"/>
      </w:pPr>
      <w:r>
        <w:rPr>
          <w:rFonts w:ascii="Helvetica Neue" w:hAnsi="Helvetica Neue"/>
          <w:b/>
          <w:color w:val="082A4A"/>
          <w:sz w:val="27"/>
        </w:rPr>
        <w:t>Appendix A.  Quick File Index</w:t>
      </w:r>
    </w:p>
    <w:tbl>
      <w:tblPr>
        <w:tblW w:type="dxa" w:w="10224"/>
        <w:tblLayout w:type="fixed"/>
        <w:tblLook w:firstColumn="1" w:firstRow="1" w:lastColumn="0" w:lastRow="0" w:noHBand="0" w:noVBand="1" w:val="04A0"/>
        <w:tblInd w:type="dxa" w:w="120"/>
        <w:tblBorders>
          <w:top w:val="single" w:sz="6" w:color="FFFFFF"/>
          <w:left w:val="single" w:sz="6" w:color="FFFFFF"/>
          <w:bottom w:val="single" w:sz="6" w:color="FFFFFF"/>
          <w:right w:val="single" w:sz="6" w:color="FFFFFF"/>
          <w:insideH w:val="single" w:sz="6" w:color="FFFFFF"/>
          <w:insideV w:val="single" w:sz="6" w:color="FFFFFF"/>
        </w:tblBorders>
      </w:tblPr>
      <w:tblGrid>
        <w:gridCol w:w="2350"/>
        <w:gridCol w:w="7874"/>
      </w:tblGrid>
      <w:tr>
        <w:trPr>
          <w:tblHeader w:val="true"/>
        </w:trPr>
        <w:tc>
          <w:tcPr>
            <w:tcW w:type="dxa" w:w="2350"/>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Concern</w:t>
            </w:r>
          </w:p>
        </w:tc>
        <w:tc>
          <w:tcPr>
            <w:tcW w:type="dxa" w:w="7874"/>
            <w:shd w:fill="082A4A"/>
            <w:vAlign w:val="center"/>
            <w:tcMar>
              <w:top w:w="110" w:type="dxa"/>
              <w:start w:w="120" w:type="dxa"/>
              <w:bottom w:w="110" w:type="dxa"/>
              <w:end w:w="120" w:type="dxa"/>
            </w:tcMar>
          </w:tcPr>
          <w:p>
            <w:pPr>
              <w:spacing w:before="0" w:after="0" w:line="259" w:lineRule="auto"/>
              <w:jc w:val="left"/>
            </w:pPr>
            <w:r>
              <w:rPr>
                <w:rFonts w:ascii="Helvetica Neue" w:hAnsi="Helvetica Neue"/>
                <w:b/>
                <w:color w:val="FFFFFF"/>
                <w:sz w:val="16"/>
              </w:rPr>
              <w:t>Primary files</w:t>
            </w:r>
          </w:p>
        </w:tc>
      </w:tr>
      <w:tr>
        <w:trPr>
          <w:cantSplit/>
        </w:trPr>
        <w:tc>
          <w:tcPr>
            <w:tcW w:type="dxa" w:w="23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Authentication</w:t>
            </w:r>
          </w:p>
        </w:tc>
        <w:tc>
          <w:tcPr>
            <w:tcW w:type="dxa" w:w="78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client/src/App.tsx; components/LoginPage.tsx; server/routes/auth.js; server/utils/auth.js</w:t>
            </w:r>
          </w:p>
        </w:tc>
      </w:tr>
      <w:tr>
        <w:trPr>
          <w:cantSplit/>
        </w:trPr>
        <w:tc>
          <w:tcPr>
            <w:tcW w:type="dxa" w:w="23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Expense CRUD</w:t>
            </w:r>
          </w:p>
        </w:tc>
        <w:tc>
          <w:tcPr>
            <w:tcW w:type="dxa" w:w="78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components/ExpenseForm.tsx; components/ExpenseList.tsx; hooks/useExpenses.ts; routes/expenses.js; services/expenseRecords.js</w:t>
            </w:r>
          </w:p>
        </w:tc>
      </w:tr>
      <w:tr>
        <w:trPr>
          <w:cantSplit/>
        </w:trPr>
        <w:tc>
          <w:tcPr>
            <w:tcW w:type="dxa" w:w="23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Dashboard</w:t>
            </w:r>
          </w:p>
        </w:tc>
        <w:tc>
          <w:tcPr>
            <w:tcW w:type="dxa" w:w="78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components/Dashboard.tsx and chart components; utils/dashboardAnalytics.ts; routes/summary.js</w:t>
            </w:r>
          </w:p>
        </w:tc>
      </w:tr>
      <w:tr>
        <w:trPr>
          <w:cantSplit/>
        </w:trPr>
        <w:tc>
          <w:tcPr>
            <w:tcW w:type="dxa" w:w="23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Categories</w:t>
            </w:r>
          </w:p>
        </w:tc>
        <w:tc>
          <w:tcPr>
            <w:tcW w:type="dxa" w:w="78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components/CategoryManager.tsx; hooks/useCategories.ts; routes/categories.js; services/categories.js</w:t>
            </w:r>
          </w:p>
        </w:tc>
      </w:tr>
      <w:tr>
        <w:trPr>
          <w:cantSplit/>
        </w:trPr>
        <w:tc>
          <w:tcPr>
            <w:tcW w:type="dxa" w:w="23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Recurring</w:t>
            </w:r>
          </w:p>
        </w:tc>
        <w:tc>
          <w:tcPr>
            <w:tcW w:type="dxa" w:w="78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components/RecurringPaymentsManager.tsx; hooks/useRecurringExpenses.ts; routes/services recurringExpenses.js</w:t>
            </w:r>
          </w:p>
        </w:tc>
      </w:tr>
      <w:tr>
        <w:trPr>
          <w:cantSplit/>
        </w:trPr>
        <w:tc>
          <w:tcPr>
            <w:tcW w:type="dxa" w:w="23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Receipts</w:t>
            </w:r>
          </w:p>
        </w:tc>
        <w:tc>
          <w:tcPr>
            <w:tcW w:type="dxa" w:w="78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components/ReceiptSaver.tsx; hooks/useReceipts.ts; routes/receipts.js; services/receiptCleanup.js; utils/receiptFiles.js</w:t>
            </w:r>
          </w:p>
        </w:tc>
      </w:tr>
      <w:tr>
        <w:trPr>
          <w:cantSplit/>
        </w:trPr>
        <w:tc>
          <w:tcPr>
            <w:tcW w:type="dxa" w:w="23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Emergency fund</w:t>
            </w:r>
          </w:p>
        </w:tc>
        <w:tc>
          <w:tcPr>
            <w:tcW w:type="dxa" w:w="78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components/EmergencyFundDashboard.tsx; hooks/useEmergencyFund.ts; routes/emergency.js; services/emergencyFund.js</w:t>
            </w:r>
          </w:p>
        </w:tc>
      </w:tr>
      <w:tr>
        <w:trPr>
          <w:cantSplit/>
        </w:trPr>
        <w:tc>
          <w:tcPr>
            <w:tcW w:type="dxa" w:w="23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Backup</w:t>
            </w:r>
          </w:p>
        </w:tc>
        <w:tc>
          <w:tcPr>
            <w:tcW w:type="dxa" w:w="78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components/BackupSettings.tsx; routes/backup.js; routes/export.js; services/backupReminder.js; services/exportWorkbook.js</w:t>
            </w:r>
          </w:p>
        </w:tc>
      </w:tr>
      <w:tr>
        <w:trPr>
          <w:cantSplit/>
        </w:trPr>
        <w:tc>
          <w:tcPr>
            <w:tcW w:type="dxa" w:w="23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Reset</w:t>
            </w:r>
          </w:p>
        </w:tc>
        <w:tc>
          <w:tcPr>
            <w:tcW w:type="dxa" w:w="78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components/SettingsPage.tsx; routes/settings.js; services/resetIntent.js; services/appReset.js</w:t>
            </w:r>
          </w:p>
        </w:tc>
      </w:tr>
      <w:tr>
        <w:trPr>
          <w:cantSplit/>
        </w:trPr>
        <w:tc>
          <w:tcPr>
            <w:tcW w:type="dxa" w:w="23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Configuration</w:t>
            </w:r>
          </w:p>
        </w:tc>
        <w:tc>
          <w:tcPr>
            <w:tcW w:type="dxa" w:w="7874"/>
            <w:shd w:fill="F4F7FA"/>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client/vite.config.ts; server/config/env.js; server/db/database.js; server/middleware/security.js</w:t>
            </w:r>
          </w:p>
        </w:tc>
      </w:tr>
      <w:tr>
        <w:trPr>
          <w:cantSplit/>
        </w:trPr>
        <w:tc>
          <w:tcPr>
            <w:tcW w:type="dxa" w:w="2350"/>
            <w:shd w:fill="DCEAF5"/>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Persistent schema</w:t>
            </w:r>
          </w:p>
        </w:tc>
        <w:tc>
          <w:tcPr>
            <w:tcW w:type="dxa" w:w="7874"/>
            <w:shd w:fill="FFFFFF"/>
            <w:vAlign w:val="center"/>
            <w:tcMar>
              <w:top w:w="110" w:type="dxa"/>
              <w:start w:w="120" w:type="dxa"/>
              <w:bottom w:w="110" w:type="dxa"/>
              <w:end w:w="120" w:type="dxa"/>
            </w:tcMar>
          </w:tcPr>
          <w:p>
            <w:pPr>
              <w:spacing w:before="0" w:after="0" w:line="259" w:lineRule="auto"/>
              <w:jc w:val="left"/>
            </w:pPr>
            <w:r>
              <w:rPr>
                <w:rFonts w:ascii="Helvetica Neue" w:hAnsi="Helvetica Neue"/>
                <w:b w:val="0"/>
                <w:color w:val="233447"/>
                <w:sz w:val="16"/>
              </w:rPr>
              <w:t>server/db/schema.sql; server/db/seed.sql</w:t>
            </w:r>
          </w:p>
        </w:tc>
      </w:tr>
    </w:tbl>
    <w:p>
      <w:pPr>
        <w:spacing w:after="20"/>
      </w:pPr>
    </w:p>
    <w:p>
      <w:pPr>
        <w:pStyle w:val="Heading2"/>
        <w:keepNext/>
        <w:spacing w:before="160" w:after="90"/>
      </w:pPr>
      <w:r>
        <w:rPr>
          <w:rFonts w:ascii="Helvetica Neue" w:hAnsi="Helvetica Neue"/>
          <w:b/>
          <w:color w:val="5B7085"/>
          <w:sz w:val="21"/>
        </w:rPr>
        <w:t>Source basis</w:t>
      </w:r>
    </w:p>
    <w:p>
      <w:pPr>
        <w:keepLines w:val="0"/>
        <w:spacing w:after="110" w:line="278" w:lineRule="auto"/>
      </w:pPr>
      <w:r>
        <w:rPr>
          <w:rFonts w:ascii="Helvetica Neue" w:hAnsi="Helvetica Neue"/>
          <w:i w:val="0"/>
          <w:color w:val="233447"/>
          <w:sz w:val="20"/>
        </w:rPr>
        <w:t>This guide was generated from the repository state inspected on July 29, 2026. When behavior changes, update this document alongside the affected code paths, API contracts, schema, and operational assumptions.</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Financial Tracker | Developer Onboarding Guide</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multiLevelType w:val="singleLevel"/>
    <w:lvl w:ilvl="0">
      <w:start w:val="1"/>
      <w:numFmt w:val="bullet"/>
      <w:lvlText w:val="•"/>
      <w:lvlJc w:val="left"/>
      <w:pPr>
        <w:tabs>
          <w:tab w:val="num" w:pos="540"/>
        </w:tabs>
        <w:ind w:left="540" w:hanging="260"/>
      </w:pPr>
    </w:lvl>
  </w:abstractNum>
  <w:abstractNum w:abstractNumId="6">
    <w:multiLevelType w:val="singleLevel"/>
    <w:lvl w:ilvl="0">
      <w:start w:val="1"/>
      <w:numFmt w:val="decimal"/>
      <w:lvlText w:val="%1."/>
      <w:lvlJc w:val="left"/>
      <w:pPr>
        <w:tabs>
          <w:tab w:val="num" w:pos="600"/>
        </w:tabs>
        <w:ind w:left="600" w:hanging="30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5"/>
    <w:lvlOverride w:ilvl="0">
      <w:startOverride w:val="1"/>
    </w:lvlOverride>
  </w:num>
  <w:num w:numId="8">
    <w:abstractNumId w:val="5"/>
    <w:lvlOverride w:ilvl="0">
      <w:startOverride w:val="1"/>
    </w:lvlOverride>
  </w:num>
  <w:num w:numId="9">
    <w:abstractNumId w:val="5"/>
    <w:lvlOverride w:ilvl="0">
      <w:startOverride w:val="1"/>
    </w:lvlOverride>
  </w:num>
  <w:num w:numId="10">
    <w:abstractNumId w:val="5"/>
    <w:lvlOverride w:ilvl="0">
      <w:startOverride w:val="1"/>
    </w:lvlOverride>
  </w:num>
  <w:num w:numId="11">
    <w:abstractNumId w:val="6"/>
    <w:lvlOverride w:ilvl="0">
      <w:startOverride w:val="1"/>
    </w:lvlOverride>
  </w:num>
  <w:num w:numId="12">
    <w:abstractNumId w:val="5"/>
    <w:lvlOverride w:ilvl="0">
      <w:startOverride w:val="1"/>
    </w:lvlOverride>
  </w:num>
  <w:num w:numId="13">
    <w:abstractNumId w:val="6"/>
    <w:lvlOverride w:ilvl="0">
      <w:startOverride w:val="1"/>
    </w:lvlOverride>
  </w:num>
  <w:num w:numId="14">
    <w:abstractNumId w:val="5"/>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5"/>
    <w:lvlOverride w:ilvl="0">
      <w:startOverride w:val="1"/>
    </w:lvlOverride>
  </w:num>
  <w:num w:numId="18">
    <w:abstractNumId w:val="5"/>
    <w:lvlOverride w:ilvl="0">
      <w:startOverride w:val="1"/>
    </w:lvlOverride>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6"/>
    <w:lvlOverride w:ilvl="0">
      <w:startOverride w:val="1"/>
    </w:lvlOverride>
  </w:num>
  <w:num w:numId="23">
    <w:abstractNumId w:val="5"/>
    <w:lvlOverride w:ilvl="0">
      <w:startOverride w:val="1"/>
    </w:lvlOverride>
  </w:num>
  <w:num w:numId="24">
    <w:abstractNumId w:val="5"/>
    <w:lvlOverride w:ilvl="0">
      <w:startOverride w:val="1"/>
    </w:lvlOverride>
  </w:num>
  <w:num w:numId="25">
    <w:abstractNumId w:val="5"/>
    <w:lvlOverride w:ilvl="0">
      <w:startOverride w:val="1"/>
    </w:lvlOverride>
  </w:num>
  <w:num w:numId="26">
    <w:abstractNumId w:val="5"/>
    <w:lvlOverride w:ilvl="0">
      <w:startOverride w:val="1"/>
    </w:lvlOverride>
  </w:num>
  <w:num w:numId="2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