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ACACC" w14:textId="77777777" w:rsidR="00704F81" w:rsidRPr="008759D8" w:rsidRDefault="00704F81" w:rsidP="008759D8">
      <w:pPr>
        <w:jc w:val="both"/>
        <w:rPr>
          <w:rFonts w:cstheme="minorHAnsi"/>
          <w:bCs/>
          <w:sz w:val="24"/>
          <w:szCs w:val="24"/>
        </w:rPr>
      </w:pPr>
    </w:p>
    <w:p w14:paraId="06F95939" w14:textId="77777777" w:rsidR="008759D8" w:rsidRPr="008759D8" w:rsidRDefault="008759D8" w:rsidP="008759D8">
      <w:pPr>
        <w:shd w:val="clear" w:color="auto" w:fill="FFFFFF"/>
        <w:spacing w:after="0" w:line="240" w:lineRule="auto"/>
        <w:ind w:left="360"/>
        <w:jc w:val="center"/>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INSTRUCTIVO PARA INSTRUCTORES</w:t>
      </w:r>
    </w:p>
    <w:p w14:paraId="26E0A099" w14:textId="77777777" w:rsidR="008759D8" w:rsidRPr="008759D8" w:rsidRDefault="008759D8" w:rsidP="008759D8">
      <w:pPr>
        <w:shd w:val="clear" w:color="auto" w:fill="FFFFFF"/>
        <w:spacing w:after="0" w:line="240" w:lineRule="auto"/>
        <w:ind w:left="360"/>
        <w:jc w:val="center"/>
        <w:rPr>
          <w:rFonts w:eastAsia="Times New Roman" w:cstheme="minorHAnsi"/>
          <w:b/>
          <w:color w:val="000000" w:themeColor="text1"/>
          <w:sz w:val="24"/>
          <w:szCs w:val="24"/>
          <w:u w:val="single"/>
          <w:lang w:eastAsia="es-CO"/>
        </w:rPr>
      </w:pPr>
      <w:r w:rsidRPr="008759D8">
        <w:rPr>
          <w:rFonts w:eastAsia="Times New Roman" w:cstheme="minorHAnsi"/>
          <w:b/>
          <w:color w:val="000000" w:themeColor="text1"/>
          <w:sz w:val="24"/>
          <w:szCs w:val="24"/>
          <w:u w:val="single"/>
          <w:lang w:eastAsia="es-CO"/>
        </w:rPr>
        <w:t xml:space="preserve">Aplicación de Medidas Formativas Académicas </w:t>
      </w:r>
      <w:r w:rsidRPr="008759D8">
        <w:rPr>
          <w:rFonts w:eastAsia="Times New Roman" w:cstheme="minorHAnsi"/>
          <w:b/>
          <w:i/>
          <w:iCs/>
          <w:color w:val="000000" w:themeColor="text1"/>
          <w:sz w:val="24"/>
          <w:szCs w:val="24"/>
          <w:u w:val="single"/>
          <w:lang w:eastAsia="es-CO"/>
        </w:rPr>
        <w:t>(Artículo 46 del Reglamento del Aprendiz SENA)</w:t>
      </w:r>
    </w:p>
    <w:p w14:paraId="011464FF" w14:textId="77777777" w:rsid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p>
    <w:p w14:paraId="7F1EDA34" w14:textId="6C292243"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Objetivo del Instructivo</w:t>
      </w:r>
    </w:p>
    <w:p w14:paraId="5DA5E7D0"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Este documento detalla el procedimiento para la aplicación de medidas formativas académicas, conforme al Artículo 46 del Reglamento del Aprendiz SENA, cuando el aprendiz no alcanza los resultados de aprendizaje esperados y se busca prevenir el abandono del proceso formativo.</w:t>
      </w:r>
    </w:p>
    <w:p w14:paraId="0D70783B" w14:textId="77777777" w:rsid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p>
    <w:p w14:paraId="5FD063A3" w14:textId="06733979"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¿Cuándo Aplicar Medidas Formativas Académicas?</w:t>
      </w:r>
    </w:p>
    <w:p w14:paraId="588B5D5F"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Las medidas formativas académicas se aplican cuando un aprendiz no logra los resultados de aprendizaje esperados y se considera necesario intervenir para facilitar su progreso y evitar la deserción del proceso formativo.</w:t>
      </w:r>
    </w:p>
    <w:p w14:paraId="4218BBC2" w14:textId="77777777" w:rsid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p>
    <w:p w14:paraId="4963822A" w14:textId="2EC120EC"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Llamado de Atención Académico</w:t>
      </w:r>
    </w:p>
    <w:p w14:paraId="098556B5"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El llamado de atención académico es la primera medida formativa y debe realizarse por escrito.</w:t>
      </w:r>
    </w:p>
    <w:p w14:paraId="5B5C223D"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Paso 1: Identificación.</w:t>
      </w:r>
    </w:p>
    <w:p w14:paraId="789A58BF"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Verifique que el aprendiz no ha logrado uno o más resultados de aprendizaje esperados.</w:t>
      </w:r>
    </w:p>
    <w:p w14:paraId="544B8861"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Paso 2: Primer Llamado de Atención.</w:t>
      </w:r>
    </w:p>
    <w:p w14:paraId="70BBC7C7"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Realice un primer llamado de atención por escrito, utilizando el formato institucional oficial.</w:t>
      </w:r>
    </w:p>
    <w:p w14:paraId="6EEC15A0"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Paso 3: Segundo Llamado de Atención (si aplica).</w:t>
      </w:r>
    </w:p>
    <w:p w14:paraId="72069089"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Si, a pesar del primer llamado, el aprendiz no muestra mejora en el logro de los resultados de aprendizaje, proceda con un segundo llamado de atención por escrito.</w:t>
      </w:r>
    </w:p>
    <w:p w14:paraId="00E3C9E4"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Este segundo llamado debe incluir orientaciones académicas escritas. Estas orientaciones deben basarse en estrategias pedagógicas que permitan al aprendiz superar los resultados de aprendizaje no alcanzados y deben ser acatadas de manera inmediata.</w:t>
      </w:r>
    </w:p>
    <w:p w14:paraId="3DC4D584"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 xml:space="preserve">Importante: Las orientaciones académicas </w:t>
      </w:r>
      <w:r w:rsidRPr="008759D8">
        <w:rPr>
          <w:rFonts w:eastAsia="Times New Roman" w:cstheme="minorHAnsi"/>
          <w:bCs/>
          <w:i/>
          <w:iCs/>
          <w:color w:val="222222"/>
          <w:sz w:val="24"/>
          <w:szCs w:val="24"/>
          <w:lang w:eastAsia="es-CO"/>
        </w:rPr>
        <w:t>no</w:t>
      </w:r>
      <w:r w:rsidRPr="008759D8">
        <w:rPr>
          <w:rFonts w:eastAsia="Times New Roman" w:cstheme="minorHAnsi"/>
          <w:bCs/>
          <w:color w:val="222222"/>
          <w:sz w:val="24"/>
          <w:szCs w:val="24"/>
          <w:lang w:eastAsia="es-CO"/>
        </w:rPr>
        <w:t xml:space="preserve"> constituyen un Plan de Mejoramiento Académico.</w:t>
      </w:r>
    </w:p>
    <w:p w14:paraId="434010CE"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Consideraciones Clave para los Llamados de Atención:</w:t>
      </w:r>
    </w:p>
    <w:p w14:paraId="0BD18AB4"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Se permite un máximo de dos (2) llamados de atención por cada fase del proyecto formativo (lectiva y productiva).</w:t>
      </w:r>
    </w:p>
    <w:p w14:paraId="00C2C308"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Ambos llamados deben ser emitidos por los instructores que conforman el equipo ejecutor del grupo.</w:t>
      </w:r>
    </w:p>
    <w:p w14:paraId="5C8DFE59" w14:textId="77777777" w:rsid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p>
    <w:p w14:paraId="5FAF8474" w14:textId="49E7CC1B"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Plan de Mejoramiento Académico</w:t>
      </w:r>
    </w:p>
    <w:p w14:paraId="6B79415C"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lastRenderedPageBreak/>
        <w:t>El Plan de Mejoramiento Académico es una medida más estructurada que se implementa si los llamados de atención previos no han resultado en la superación de los resultados de aprendizaje.</w:t>
      </w:r>
    </w:p>
    <w:p w14:paraId="25CD63DB"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Paso 4: Elaboración del Plan de Mejoramiento.</w:t>
      </w:r>
    </w:p>
    <w:p w14:paraId="537C7EBB"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Si el aprendiz no evidencia mejora después de los dos llamados de atención académicos, elabore un Plan de Mejoramiento Académico.</w:t>
      </w:r>
    </w:p>
    <w:p w14:paraId="6A16B249"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 xml:space="preserve">Este documento debe contener, de manera clara y específica: </w:t>
      </w:r>
    </w:p>
    <w:p w14:paraId="03C27902" w14:textId="77777777" w:rsidR="008759D8" w:rsidRPr="008759D8" w:rsidRDefault="008759D8" w:rsidP="008759D8">
      <w:pPr>
        <w:pStyle w:val="Prrafodelista"/>
        <w:numPr>
          <w:ilvl w:val="0"/>
          <w:numId w:val="16"/>
        </w:numPr>
        <w:shd w:val="clear" w:color="auto" w:fill="FFFFFF"/>
        <w:spacing w:after="0" w:line="240" w:lineRule="auto"/>
        <w:ind w:left="993" w:firstLine="141"/>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Los resultados de aprendizaje que el aprendiz no ha logrado superar.</w:t>
      </w:r>
    </w:p>
    <w:p w14:paraId="56A8F713" w14:textId="77777777" w:rsidR="008759D8" w:rsidRPr="008759D8" w:rsidRDefault="008759D8" w:rsidP="008759D8">
      <w:pPr>
        <w:pStyle w:val="Prrafodelista"/>
        <w:numPr>
          <w:ilvl w:val="0"/>
          <w:numId w:val="16"/>
        </w:numPr>
        <w:shd w:val="clear" w:color="auto" w:fill="FFFFFF"/>
        <w:spacing w:after="0" w:line="240" w:lineRule="auto"/>
        <w:ind w:left="993" w:firstLine="141"/>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Las actividades de aprendizaje específicas que el aprendiz debe realizar.</w:t>
      </w:r>
    </w:p>
    <w:p w14:paraId="2B1B7A55" w14:textId="77777777" w:rsidR="008759D8" w:rsidRPr="008759D8" w:rsidRDefault="008759D8" w:rsidP="008759D8">
      <w:pPr>
        <w:pStyle w:val="Prrafodelista"/>
        <w:numPr>
          <w:ilvl w:val="0"/>
          <w:numId w:val="16"/>
        </w:numPr>
        <w:shd w:val="clear" w:color="auto" w:fill="FFFFFF"/>
        <w:spacing w:after="0" w:line="240" w:lineRule="auto"/>
        <w:ind w:left="993" w:firstLine="141"/>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Las evidencias de aprendizaje requeridas (conocimiento, desempeño y/o producto) para demostrar la superación de los resultados.</w:t>
      </w:r>
    </w:p>
    <w:p w14:paraId="5830CDF8" w14:textId="77777777" w:rsidR="008759D8" w:rsidRPr="008759D8" w:rsidRDefault="008759D8" w:rsidP="008759D8">
      <w:pPr>
        <w:pStyle w:val="Prrafodelista"/>
        <w:numPr>
          <w:ilvl w:val="0"/>
          <w:numId w:val="16"/>
        </w:numPr>
        <w:shd w:val="clear" w:color="auto" w:fill="FFFFFF"/>
        <w:spacing w:after="0" w:line="240" w:lineRule="auto"/>
        <w:ind w:left="993" w:firstLine="141"/>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El tiempo de ejecución del plan, el cual no debe exceder los veinte (20) días calendario, contados a partir de la fecha de suscripción del plan, y debe finalizar antes de la fecha de cierre de la fase.</w:t>
      </w:r>
    </w:p>
    <w:p w14:paraId="635A7AAF"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Paso 5: Suscripción del Plan.</w:t>
      </w:r>
    </w:p>
    <w:p w14:paraId="21217261"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 xml:space="preserve">El Plan de Mejoramiento debe ser firmado por: </w:t>
      </w:r>
    </w:p>
    <w:p w14:paraId="1B2DAECF" w14:textId="77777777" w:rsidR="008759D8" w:rsidRPr="008759D8" w:rsidRDefault="008759D8" w:rsidP="008759D8">
      <w:pPr>
        <w:pStyle w:val="Prrafodelista"/>
        <w:numPr>
          <w:ilvl w:val="0"/>
          <w:numId w:val="16"/>
        </w:numPr>
        <w:shd w:val="clear" w:color="auto" w:fill="FFFFFF"/>
        <w:spacing w:after="0" w:line="240" w:lineRule="auto"/>
        <w:ind w:left="993" w:firstLine="141"/>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El instructor o el equipo ejecutor del grupo.</w:t>
      </w:r>
    </w:p>
    <w:p w14:paraId="4297FE2F" w14:textId="77777777" w:rsidR="008759D8" w:rsidRPr="008759D8" w:rsidRDefault="008759D8" w:rsidP="008759D8">
      <w:pPr>
        <w:pStyle w:val="Prrafodelista"/>
        <w:numPr>
          <w:ilvl w:val="0"/>
          <w:numId w:val="16"/>
        </w:numPr>
        <w:shd w:val="clear" w:color="auto" w:fill="FFFFFF"/>
        <w:spacing w:after="0" w:line="240" w:lineRule="auto"/>
        <w:ind w:left="993" w:firstLine="141"/>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El Coordinador Académico.</w:t>
      </w:r>
    </w:p>
    <w:p w14:paraId="5BFF39BF" w14:textId="77777777" w:rsidR="008759D8" w:rsidRPr="008759D8" w:rsidRDefault="008759D8" w:rsidP="008759D8">
      <w:pPr>
        <w:pStyle w:val="Prrafodelista"/>
        <w:numPr>
          <w:ilvl w:val="0"/>
          <w:numId w:val="16"/>
        </w:numPr>
        <w:shd w:val="clear" w:color="auto" w:fill="FFFFFF"/>
        <w:spacing w:after="0" w:line="240" w:lineRule="auto"/>
        <w:ind w:left="993" w:firstLine="141"/>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El aprendiz.</w:t>
      </w:r>
    </w:p>
    <w:p w14:paraId="69574B12"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Paso 6: Seguimiento y Verificación.</w:t>
      </w:r>
    </w:p>
    <w:p w14:paraId="54E7E6F3"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La verificación del cumplimiento de este plan es responsabilidad exclusiva del instructor o del equipo ejecutor a cargo del grupo del aprendiz.</w:t>
      </w:r>
    </w:p>
    <w:p w14:paraId="5F93EA51"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Nota: El Plan de Mejoramiento Académico no requiere la elaboración de un acta.</w:t>
      </w:r>
    </w:p>
    <w:p w14:paraId="489110CC"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Parágrafos Importantes:</w:t>
      </w:r>
    </w:p>
    <w:p w14:paraId="003E471E"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Se permite un máximo de dos (2) Planes de Mejoramiento Académico por cada fase lectiva y dos (2) por cada etapa productiva del programa de formación.</w:t>
      </w:r>
    </w:p>
    <w:p w14:paraId="703AF7AD"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Las medidas formativas académicas son aplicables también a aprendices en formación dual, siempre y cuando la falta académica ocurra dentro del ámbito de las actividades desarrolladas en el SENA.</w:t>
      </w:r>
    </w:p>
    <w:p w14:paraId="7F0EB547" w14:textId="77777777" w:rsid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p>
    <w:p w14:paraId="2EEDFBF2" w14:textId="21E59195" w:rsidR="008759D8" w:rsidRPr="008759D8" w:rsidRDefault="008759D8" w:rsidP="008759D8">
      <w:pPr>
        <w:shd w:val="clear" w:color="auto" w:fill="FFFFFF"/>
        <w:spacing w:after="0" w:line="240" w:lineRule="auto"/>
        <w:ind w:left="360"/>
        <w:jc w:val="both"/>
        <w:rPr>
          <w:rFonts w:eastAsia="Times New Roman" w:cstheme="minorHAnsi"/>
          <w:b/>
          <w:color w:val="222222"/>
          <w:sz w:val="24"/>
          <w:szCs w:val="24"/>
          <w:lang w:eastAsia="es-CO"/>
        </w:rPr>
      </w:pPr>
      <w:r w:rsidRPr="008759D8">
        <w:rPr>
          <w:rFonts w:eastAsia="Times New Roman" w:cstheme="minorHAnsi"/>
          <w:b/>
          <w:color w:val="222222"/>
          <w:sz w:val="24"/>
          <w:szCs w:val="24"/>
          <w:lang w:eastAsia="es-CO"/>
        </w:rPr>
        <w:t>Registro y Custodia de la Documentación</w:t>
      </w:r>
    </w:p>
    <w:p w14:paraId="7AE7463B"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La correcta documentación y seguimiento son cruciales para la trazabilidad del proceso.</w:t>
      </w:r>
    </w:p>
    <w:p w14:paraId="157E450A"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 xml:space="preserve">Paso 7: Registro. </w:t>
      </w:r>
    </w:p>
    <w:p w14:paraId="282B50FF"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Registre cada medida formativa académica aplicada (llamados de atención y planes de mejoramiento) en el formato oficial del SENA destinado para tal fin.</w:t>
      </w:r>
    </w:p>
    <w:p w14:paraId="20CF219A"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 xml:space="preserve">Paso 8: Custodia. </w:t>
      </w:r>
    </w:p>
    <w:p w14:paraId="4548D80D"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Guarde toda la documentación y evidencias relacionadas con las medidas formativas en una carpeta digital centralizada, bajo la custodia de la Coordinación Académica.</w:t>
      </w:r>
    </w:p>
    <w:p w14:paraId="1AD582AB" w14:textId="77777777" w:rsid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p>
    <w:p w14:paraId="799EE105" w14:textId="724D4ED0" w:rsidR="008759D8" w:rsidRPr="008759D8" w:rsidRDefault="008759D8" w:rsidP="008759D8">
      <w:pPr>
        <w:shd w:val="clear" w:color="auto" w:fill="FFFFFF"/>
        <w:spacing w:after="0" w:line="240" w:lineRule="auto"/>
        <w:ind w:left="360"/>
        <w:jc w:val="both"/>
        <w:rPr>
          <w:rFonts w:eastAsia="Times New Roman" w:cstheme="minorHAnsi"/>
          <w:b/>
          <w:color w:val="222222"/>
          <w:sz w:val="24"/>
          <w:szCs w:val="24"/>
          <w:lang w:eastAsia="es-CO"/>
        </w:rPr>
      </w:pPr>
      <w:r w:rsidRPr="008759D8">
        <w:rPr>
          <w:rFonts w:eastAsia="Times New Roman" w:cstheme="minorHAnsi"/>
          <w:b/>
          <w:color w:val="222222"/>
          <w:sz w:val="24"/>
          <w:szCs w:val="24"/>
          <w:lang w:eastAsia="es-CO"/>
        </w:rPr>
        <w:t>Incumplimiento del Plan de Mejoramiento</w:t>
      </w:r>
    </w:p>
    <w:p w14:paraId="5F2B86D5" w14:textId="77777777"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Si el aprendiz no cumple con lo estipulado en el Plan de Mejoramiento Académico, se procederá con la remisión a instancias superiores.</w:t>
      </w:r>
    </w:p>
    <w:p w14:paraId="3D2F8458" w14:textId="77777777" w:rsid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p>
    <w:p w14:paraId="23E089B3" w14:textId="642010C0" w:rsidR="008759D8" w:rsidRPr="008759D8" w:rsidRDefault="008759D8" w:rsidP="008759D8">
      <w:pPr>
        <w:shd w:val="clear" w:color="auto" w:fill="FFFFFF"/>
        <w:spacing w:after="0" w:line="240" w:lineRule="auto"/>
        <w:ind w:left="36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lastRenderedPageBreak/>
        <w:t xml:space="preserve">Paso 9: Remisión al Comité de Evaluación y Seguimiento. </w:t>
      </w:r>
    </w:p>
    <w:p w14:paraId="780F5637" w14:textId="77777777" w:rsid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En caso de que el aprendiz no cumpla con las actividades y evidencias establecidas en el Plan de Mejoramiento Académico, el caso deberá ser remitido al Comité de Evaluación y Seguimiento.</w:t>
      </w:r>
    </w:p>
    <w:p w14:paraId="7F6B730A" w14:textId="77777777" w:rsidR="008759D8" w:rsidRPr="008759D8" w:rsidRDefault="008759D8" w:rsidP="008759D8">
      <w:pPr>
        <w:shd w:val="clear" w:color="auto" w:fill="FFFFFF"/>
        <w:spacing w:after="0" w:line="240" w:lineRule="auto"/>
        <w:ind w:left="1080"/>
        <w:jc w:val="both"/>
        <w:rPr>
          <w:rFonts w:eastAsia="Times New Roman" w:cstheme="minorHAnsi"/>
          <w:bCs/>
          <w:color w:val="222222"/>
          <w:sz w:val="24"/>
          <w:szCs w:val="24"/>
          <w:lang w:eastAsia="es-CO"/>
        </w:rPr>
      </w:pPr>
      <w:r w:rsidRPr="008759D8">
        <w:rPr>
          <w:rFonts w:eastAsia="Times New Roman" w:cstheme="minorHAnsi"/>
          <w:bCs/>
          <w:color w:val="222222"/>
          <w:sz w:val="24"/>
          <w:szCs w:val="24"/>
          <w:lang w:eastAsia="es-CO"/>
        </w:rPr>
        <w:t>El Comité será el encargado de analizar la situación y decidir la medida sancionatoria correspondiente, de acuerdo con el Reglamento del Aprendiz.</w:t>
      </w:r>
    </w:p>
    <w:p w14:paraId="79413AF7" w14:textId="168E8C8B" w:rsidR="00BF77A2" w:rsidRDefault="00BF77A2" w:rsidP="008759D8">
      <w:pPr>
        <w:shd w:val="clear" w:color="auto" w:fill="FFFFFF"/>
        <w:spacing w:after="0" w:line="240" w:lineRule="auto"/>
        <w:jc w:val="center"/>
      </w:pPr>
    </w:p>
    <w:sectPr w:rsidR="00BF77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77D0"/>
    <w:multiLevelType w:val="multilevel"/>
    <w:tmpl w:val="88082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04871"/>
    <w:multiLevelType w:val="hybridMultilevel"/>
    <w:tmpl w:val="B11AD954"/>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 w15:restartNumberingAfterBreak="0">
    <w:nsid w:val="0C6E17BD"/>
    <w:multiLevelType w:val="hybridMultilevel"/>
    <w:tmpl w:val="DF58B9C4"/>
    <w:lvl w:ilvl="0" w:tplc="240A000D">
      <w:start w:val="1"/>
      <w:numFmt w:val="bullet"/>
      <w:lvlText w:val=""/>
      <w:lvlJc w:val="left"/>
      <w:pPr>
        <w:ind w:left="1080" w:hanging="360"/>
      </w:pPr>
      <w:rPr>
        <w:rFonts w:ascii="Wingdings" w:hAnsi="Wingdings" w:hint="default"/>
        <w:b/>
        <w:sz w:val="27"/>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D1D4DB4"/>
    <w:multiLevelType w:val="hybridMultilevel"/>
    <w:tmpl w:val="DDB61CA6"/>
    <w:lvl w:ilvl="0" w:tplc="ACB2C952">
      <w:start w:val="1"/>
      <w:numFmt w:val="decimal"/>
      <w:lvlText w:val="%1."/>
      <w:lvlJc w:val="left"/>
      <w:pPr>
        <w:ind w:left="1080" w:hanging="360"/>
      </w:pPr>
      <w:rPr>
        <w:rFonts w:ascii="Calibri" w:hAnsi="Calibri" w:cs="Calibri" w:hint="default"/>
        <w:b/>
        <w:sz w:val="27"/>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35C6ABF"/>
    <w:multiLevelType w:val="hybridMultilevel"/>
    <w:tmpl w:val="EAE86DD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9A5012C"/>
    <w:multiLevelType w:val="hybridMultilevel"/>
    <w:tmpl w:val="3CB424BA"/>
    <w:lvl w:ilvl="0" w:tplc="240A000B">
      <w:start w:val="1"/>
      <w:numFmt w:val="bullet"/>
      <w:lvlText w:val=""/>
      <w:lvlJc w:val="left"/>
      <w:pPr>
        <w:ind w:left="1080" w:hanging="360"/>
      </w:pPr>
      <w:rPr>
        <w:rFonts w:ascii="Wingdings" w:hAnsi="Wingdings" w:hint="default"/>
        <w:b/>
        <w:sz w:val="27"/>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DA33774"/>
    <w:multiLevelType w:val="multilevel"/>
    <w:tmpl w:val="35103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30E62"/>
    <w:multiLevelType w:val="hybridMultilevel"/>
    <w:tmpl w:val="EDDEDD0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1BB35B3"/>
    <w:multiLevelType w:val="hybridMultilevel"/>
    <w:tmpl w:val="8938B5D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F963E9D"/>
    <w:multiLevelType w:val="multilevel"/>
    <w:tmpl w:val="8122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F5967"/>
    <w:multiLevelType w:val="hybridMultilevel"/>
    <w:tmpl w:val="0382FE62"/>
    <w:lvl w:ilvl="0" w:tplc="240A0001">
      <w:start w:val="1"/>
      <w:numFmt w:val="bullet"/>
      <w:lvlText w:val=""/>
      <w:lvlJc w:val="left"/>
      <w:pPr>
        <w:ind w:left="1080" w:hanging="360"/>
      </w:pPr>
      <w:rPr>
        <w:rFonts w:ascii="Symbol" w:hAnsi="Symbol" w:hint="default"/>
        <w:b/>
        <w:sz w:val="27"/>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9BE3995"/>
    <w:multiLevelType w:val="hybridMultilevel"/>
    <w:tmpl w:val="34785F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D63180B"/>
    <w:multiLevelType w:val="hybridMultilevel"/>
    <w:tmpl w:val="DC8ED28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E155081"/>
    <w:multiLevelType w:val="multilevel"/>
    <w:tmpl w:val="776CD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17610"/>
    <w:multiLevelType w:val="hybridMultilevel"/>
    <w:tmpl w:val="FADEC646"/>
    <w:lvl w:ilvl="0" w:tplc="52C607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DDE34B1"/>
    <w:multiLevelType w:val="hybridMultilevel"/>
    <w:tmpl w:val="5560D7C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6" w15:restartNumberingAfterBreak="0">
    <w:nsid w:val="73682169"/>
    <w:multiLevelType w:val="hybridMultilevel"/>
    <w:tmpl w:val="C38C4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58951574">
    <w:abstractNumId w:val="12"/>
  </w:num>
  <w:num w:numId="2" w16cid:durableId="2138525548">
    <w:abstractNumId w:val="3"/>
  </w:num>
  <w:num w:numId="3" w16cid:durableId="416439249">
    <w:abstractNumId w:val="4"/>
  </w:num>
  <w:num w:numId="4" w16cid:durableId="1119180146">
    <w:abstractNumId w:val="7"/>
  </w:num>
  <w:num w:numId="5" w16cid:durableId="940141858">
    <w:abstractNumId w:val="5"/>
  </w:num>
  <w:num w:numId="6" w16cid:durableId="288780475">
    <w:abstractNumId w:val="2"/>
  </w:num>
  <w:num w:numId="7" w16cid:durableId="219902396">
    <w:abstractNumId w:val="10"/>
  </w:num>
  <w:num w:numId="8" w16cid:durableId="1961914838">
    <w:abstractNumId w:val="14"/>
  </w:num>
  <w:num w:numId="9" w16cid:durableId="1983463333">
    <w:abstractNumId w:val="16"/>
  </w:num>
  <w:num w:numId="10" w16cid:durableId="885070051">
    <w:abstractNumId w:val="13"/>
  </w:num>
  <w:num w:numId="11" w16cid:durableId="1416366157">
    <w:abstractNumId w:val="0"/>
  </w:num>
  <w:num w:numId="12" w16cid:durableId="2018926405">
    <w:abstractNumId w:val="9"/>
  </w:num>
  <w:num w:numId="13" w16cid:durableId="1837574979">
    <w:abstractNumId w:val="6"/>
  </w:num>
  <w:num w:numId="14" w16cid:durableId="1249074339">
    <w:abstractNumId w:val="8"/>
  </w:num>
  <w:num w:numId="15" w16cid:durableId="1528444034">
    <w:abstractNumId w:val="11"/>
  </w:num>
  <w:num w:numId="16" w16cid:durableId="1792477163">
    <w:abstractNumId w:val="15"/>
  </w:num>
  <w:num w:numId="17" w16cid:durableId="20323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7A2"/>
    <w:rsid w:val="000F1349"/>
    <w:rsid w:val="0063514D"/>
    <w:rsid w:val="00704F81"/>
    <w:rsid w:val="008759D8"/>
    <w:rsid w:val="00A1183A"/>
    <w:rsid w:val="00B31DAB"/>
    <w:rsid w:val="00B40610"/>
    <w:rsid w:val="00BF77A2"/>
    <w:rsid w:val="00C6128E"/>
    <w:rsid w:val="00C92E19"/>
    <w:rsid w:val="00D62987"/>
    <w:rsid w:val="00E40670"/>
    <w:rsid w:val="00F1123F"/>
    <w:rsid w:val="00F300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983C"/>
  <w15:chartTrackingRefBased/>
  <w15:docId w15:val="{AD3C01EF-AF8D-4191-A540-8C3E5839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aj">
    <w:name w:val="b_aj"/>
    <w:basedOn w:val="Fuentedeprrafopredeter"/>
    <w:rsid w:val="00BF77A2"/>
  </w:style>
  <w:style w:type="paragraph" w:styleId="Prrafodelista">
    <w:name w:val="List Paragraph"/>
    <w:basedOn w:val="Normal"/>
    <w:uiPriority w:val="34"/>
    <w:qFormat/>
    <w:rsid w:val="00BF7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191938">
      <w:bodyDiv w:val="1"/>
      <w:marLeft w:val="0"/>
      <w:marRight w:val="0"/>
      <w:marTop w:val="0"/>
      <w:marBottom w:val="0"/>
      <w:divBdr>
        <w:top w:val="none" w:sz="0" w:space="0" w:color="auto"/>
        <w:left w:val="none" w:sz="0" w:space="0" w:color="auto"/>
        <w:bottom w:val="none" w:sz="0" w:space="0" w:color="auto"/>
        <w:right w:val="none" w:sz="0" w:space="0" w:color="auto"/>
      </w:divBdr>
      <w:divsChild>
        <w:div w:id="1160003254">
          <w:marLeft w:val="0"/>
          <w:marRight w:val="0"/>
          <w:marTop w:val="0"/>
          <w:marBottom w:val="0"/>
          <w:divBdr>
            <w:top w:val="none" w:sz="0" w:space="0" w:color="auto"/>
            <w:left w:val="none" w:sz="0" w:space="0" w:color="auto"/>
            <w:bottom w:val="none" w:sz="0" w:space="0" w:color="auto"/>
            <w:right w:val="none" w:sz="0" w:space="0" w:color="auto"/>
          </w:divBdr>
        </w:div>
        <w:div w:id="1523979423">
          <w:marLeft w:val="0"/>
          <w:marRight w:val="0"/>
          <w:marTop w:val="0"/>
          <w:marBottom w:val="0"/>
          <w:divBdr>
            <w:top w:val="none" w:sz="0" w:space="0" w:color="auto"/>
            <w:left w:val="none" w:sz="0" w:space="0" w:color="auto"/>
            <w:bottom w:val="none" w:sz="0" w:space="0" w:color="auto"/>
            <w:right w:val="none" w:sz="0" w:space="0" w:color="auto"/>
          </w:divBdr>
        </w:div>
        <w:div w:id="954363365">
          <w:marLeft w:val="0"/>
          <w:marRight w:val="0"/>
          <w:marTop w:val="0"/>
          <w:marBottom w:val="0"/>
          <w:divBdr>
            <w:top w:val="none" w:sz="0" w:space="0" w:color="auto"/>
            <w:left w:val="none" w:sz="0" w:space="0" w:color="auto"/>
            <w:bottom w:val="none" w:sz="0" w:space="0" w:color="auto"/>
            <w:right w:val="none" w:sz="0" w:space="0" w:color="auto"/>
          </w:divBdr>
        </w:div>
        <w:div w:id="6251611">
          <w:marLeft w:val="0"/>
          <w:marRight w:val="0"/>
          <w:marTop w:val="0"/>
          <w:marBottom w:val="0"/>
          <w:divBdr>
            <w:top w:val="none" w:sz="0" w:space="0" w:color="auto"/>
            <w:left w:val="none" w:sz="0" w:space="0" w:color="auto"/>
            <w:bottom w:val="none" w:sz="0" w:space="0" w:color="auto"/>
            <w:right w:val="none" w:sz="0" w:space="0" w:color="auto"/>
          </w:divBdr>
        </w:div>
        <w:div w:id="209727078">
          <w:marLeft w:val="0"/>
          <w:marRight w:val="0"/>
          <w:marTop w:val="0"/>
          <w:marBottom w:val="0"/>
          <w:divBdr>
            <w:top w:val="none" w:sz="0" w:space="0" w:color="auto"/>
            <w:left w:val="none" w:sz="0" w:space="0" w:color="auto"/>
            <w:bottom w:val="none" w:sz="0" w:space="0" w:color="auto"/>
            <w:right w:val="none" w:sz="0" w:space="0" w:color="auto"/>
          </w:divBdr>
        </w:div>
        <w:div w:id="68121577">
          <w:marLeft w:val="0"/>
          <w:marRight w:val="0"/>
          <w:marTop w:val="0"/>
          <w:marBottom w:val="0"/>
          <w:divBdr>
            <w:top w:val="none" w:sz="0" w:space="0" w:color="auto"/>
            <w:left w:val="none" w:sz="0" w:space="0" w:color="auto"/>
            <w:bottom w:val="none" w:sz="0" w:space="0" w:color="auto"/>
            <w:right w:val="none" w:sz="0" w:space="0" w:color="auto"/>
          </w:divBdr>
        </w:div>
        <w:div w:id="1815835889">
          <w:marLeft w:val="0"/>
          <w:marRight w:val="0"/>
          <w:marTop w:val="0"/>
          <w:marBottom w:val="0"/>
          <w:divBdr>
            <w:top w:val="none" w:sz="0" w:space="0" w:color="auto"/>
            <w:left w:val="none" w:sz="0" w:space="0" w:color="auto"/>
            <w:bottom w:val="none" w:sz="0" w:space="0" w:color="auto"/>
            <w:right w:val="none" w:sz="0" w:space="0" w:color="auto"/>
          </w:divBdr>
        </w:div>
        <w:div w:id="1944998149">
          <w:marLeft w:val="0"/>
          <w:marRight w:val="0"/>
          <w:marTop w:val="0"/>
          <w:marBottom w:val="0"/>
          <w:divBdr>
            <w:top w:val="none" w:sz="0" w:space="0" w:color="auto"/>
            <w:left w:val="none" w:sz="0" w:space="0" w:color="auto"/>
            <w:bottom w:val="none" w:sz="0" w:space="0" w:color="auto"/>
            <w:right w:val="none" w:sz="0" w:space="0" w:color="auto"/>
          </w:divBdr>
        </w:div>
        <w:div w:id="1454639532">
          <w:marLeft w:val="0"/>
          <w:marRight w:val="0"/>
          <w:marTop w:val="0"/>
          <w:marBottom w:val="0"/>
          <w:divBdr>
            <w:top w:val="none" w:sz="0" w:space="0" w:color="auto"/>
            <w:left w:val="none" w:sz="0" w:space="0" w:color="auto"/>
            <w:bottom w:val="none" w:sz="0" w:space="0" w:color="auto"/>
            <w:right w:val="none" w:sz="0" w:space="0" w:color="auto"/>
          </w:divBdr>
        </w:div>
        <w:div w:id="194654696">
          <w:marLeft w:val="0"/>
          <w:marRight w:val="0"/>
          <w:marTop w:val="0"/>
          <w:marBottom w:val="0"/>
          <w:divBdr>
            <w:top w:val="none" w:sz="0" w:space="0" w:color="auto"/>
            <w:left w:val="none" w:sz="0" w:space="0" w:color="auto"/>
            <w:bottom w:val="none" w:sz="0" w:space="0" w:color="auto"/>
            <w:right w:val="none" w:sz="0" w:space="0" w:color="auto"/>
          </w:divBdr>
        </w:div>
        <w:div w:id="373506182">
          <w:marLeft w:val="0"/>
          <w:marRight w:val="0"/>
          <w:marTop w:val="0"/>
          <w:marBottom w:val="0"/>
          <w:divBdr>
            <w:top w:val="none" w:sz="0" w:space="0" w:color="auto"/>
            <w:left w:val="none" w:sz="0" w:space="0" w:color="auto"/>
            <w:bottom w:val="none" w:sz="0" w:space="0" w:color="auto"/>
            <w:right w:val="none" w:sz="0" w:space="0" w:color="auto"/>
          </w:divBdr>
        </w:div>
        <w:div w:id="1987511899">
          <w:marLeft w:val="0"/>
          <w:marRight w:val="0"/>
          <w:marTop w:val="0"/>
          <w:marBottom w:val="0"/>
          <w:divBdr>
            <w:top w:val="none" w:sz="0" w:space="0" w:color="auto"/>
            <w:left w:val="none" w:sz="0" w:space="0" w:color="auto"/>
            <w:bottom w:val="none" w:sz="0" w:space="0" w:color="auto"/>
            <w:right w:val="none" w:sz="0" w:space="0" w:color="auto"/>
          </w:divBdr>
        </w:div>
        <w:div w:id="1314480347">
          <w:marLeft w:val="0"/>
          <w:marRight w:val="0"/>
          <w:marTop w:val="0"/>
          <w:marBottom w:val="0"/>
          <w:divBdr>
            <w:top w:val="none" w:sz="0" w:space="0" w:color="auto"/>
            <w:left w:val="none" w:sz="0" w:space="0" w:color="auto"/>
            <w:bottom w:val="none" w:sz="0" w:space="0" w:color="auto"/>
            <w:right w:val="none" w:sz="0" w:space="0" w:color="auto"/>
          </w:divBdr>
        </w:div>
        <w:div w:id="1494488114">
          <w:marLeft w:val="0"/>
          <w:marRight w:val="0"/>
          <w:marTop w:val="0"/>
          <w:marBottom w:val="0"/>
          <w:divBdr>
            <w:top w:val="none" w:sz="0" w:space="0" w:color="auto"/>
            <w:left w:val="none" w:sz="0" w:space="0" w:color="auto"/>
            <w:bottom w:val="none" w:sz="0" w:space="0" w:color="auto"/>
            <w:right w:val="none" w:sz="0" w:space="0" w:color="auto"/>
          </w:divBdr>
        </w:div>
        <w:div w:id="1452213987">
          <w:marLeft w:val="0"/>
          <w:marRight w:val="0"/>
          <w:marTop w:val="0"/>
          <w:marBottom w:val="0"/>
          <w:divBdr>
            <w:top w:val="none" w:sz="0" w:space="0" w:color="auto"/>
            <w:left w:val="none" w:sz="0" w:space="0" w:color="auto"/>
            <w:bottom w:val="none" w:sz="0" w:space="0" w:color="auto"/>
            <w:right w:val="none" w:sz="0" w:space="0" w:color="auto"/>
          </w:divBdr>
        </w:div>
        <w:div w:id="1194031371">
          <w:marLeft w:val="0"/>
          <w:marRight w:val="0"/>
          <w:marTop w:val="0"/>
          <w:marBottom w:val="0"/>
          <w:divBdr>
            <w:top w:val="none" w:sz="0" w:space="0" w:color="auto"/>
            <w:left w:val="none" w:sz="0" w:space="0" w:color="auto"/>
            <w:bottom w:val="none" w:sz="0" w:space="0" w:color="auto"/>
            <w:right w:val="none" w:sz="0" w:space="0" w:color="auto"/>
          </w:divBdr>
        </w:div>
        <w:div w:id="1295327939">
          <w:marLeft w:val="0"/>
          <w:marRight w:val="0"/>
          <w:marTop w:val="0"/>
          <w:marBottom w:val="0"/>
          <w:divBdr>
            <w:top w:val="none" w:sz="0" w:space="0" w:color="auto"/>
            <w:left w:val="none" w:sz="0" w:space="0" w:color="auto"/>
            <w:bottom w:val="none" w:sz="0" w:space="0" w:color="auto"/>
            <w:right w:val="none" w:sz="0" w:space="0" w:color="auto"/>
          </w:divBdr>
        </w:div>
        <w:div w:id="359092534">
          <w:marLeft w:val="0"/>
          <w:marRight w:val="0"/>
          <w:marTop w:val="0"/>
          <w:marBottom w:val="0"/>
          <w:divBdr>
            <w:top w:val="none" w:sz="0" w:space="0" w:color="auto"/>
            <w:left w:val="none" w:sz="0" w:space="0" w:color="auto"/>
            <w:bottom w:val="none" w:sz="0" w:space="0" w:color="auto"/>
            <w:right w:val="none" w:sz="0" w:space="0" w:color="auto"/>
          </w:divBdr>
        </w:div>
        <w:div w:id="405424588">
          <w:marLeft w:val="0"/>
          <w:marRight w:val="0"/>
          <w:marTop w:val="0"/>
          <w:marBottom w:val="0"/>
          <w:divBdr>
            <w:top w:val="none" w:sz="0" w:space="0" w:color="auto"/>
            <w:left w:val="none" w:sz="0" w:space="0" w:color="auto"/>
            <w:bottom w:val="none" w:sz="0" w:space="0" w:color="auto"/>
            <w:right w:val="none" w:sz="0" w:space="0" w:color="auto"/>
          </w:divBdr>
        </w:div>
        <w:div w:id="628054943">
          <w:marLeft w:val="0"/>
          <w:marRight w:val="0"/>
          <w:marTop w:val="0"/>
          <w:marBottom w:val="0"/>
          <w:divBdr>
            <w:top w:val="none" w:sz="0" w:space="0" w:color="auto"/>
            <w:left w:val="none" w:sz="0" w:space="0" w:color="auto"/>
            <w:bottom w:val="none" w:sz="0" w:space="0" w:color="auto"/>
            <w:right w:val="none" w:sz="0" w:space="0" w:color="auto"/>
          </w:divBdr>
        </w:div>
        <w:div w:id="2107460370">
          <w:marLeft w:val="0"/>
          <w:marRight w:val="0"/>
          <w:marTop w:val="0"/>
          <w:marBottom w:val="0"/>
          <w:divBdr>
            <w:top w:val="none" w:sz="0" w:space="0" w:color="auto"/>
            <w:left w:val="none" w:sz="0" w:space="0" w:color="auto"/>
            <w:bottom w:val="none" w:sz="0" w:space="0" w:color="auto"/>
            <w:right w:val="none" w:sz="0" w:space="0" w:color="auto"/>
          </w:divBdr>
        </w:div>
        <w:div w:id="2123721835">
          <w:marLeft w:val="0"/>
          <w:marRight w:val="0"/>
          <w:marTop w:val="0"/>
          <w:marBottom w:val="0"/>
          <w:divBdr>
            <w:top w:val="none" w:sz="0" w:space="0" w:color="auto"/>
            <w:left w:val="none" w:sz="0" w:space="0" w:color="auto"/>
            <w:bottom w:val="none" w:sz="0" w:space="0" w:color="auto"/>
            <w:right w:val="none" w:sz="0" w:space="0" w:color="auto"/>
          </w:divBdr>
        </w:div>
        <w:div w:id="1639413919">
          <w:marLeft w:val="0"/>
          <w:marRight w:val="0"/>
          <w:marTop w:val="0"/>
          <w:marBottom w:val="0"/>
          <w:divBdr>
            <w:top w:val="none" w:sz="0" w:space="0" w:color="auto"/>
            <w:left w:val="none" w:sz="0" w:space="0" w:color="auto"/>
            <w:bottom w:val="none" w:sz="0" w:space="0" w:color="auto"/>
            <w:right w:val="none" w:sz="0" w:space="0" w:color="auto"/>
          </w:divBdr>
        </w:div>
        <w:div w:id="138545552">
          <w:marLeft w:val="0"/>
          <w:marRight w:val="0"/>
          <w:marTop w:val="0"/>
          <w:marBottom w:val="0"/>
          <w:divBdr>
            <w:top w:val="none" w:sz="0" w:space="0" w:color="auto"/>
            <w:left w:val="none" w:sz="0" w:space="0" w:color="auto"/>
            <w:bottom w:val="none" w:sz="0" w:space="0" w:color="auto"/>
            <w:right w:val="none" w:sz="0" w:space="0" w:color="auto"/>
          </w:divBdr>
        </w:div>
        <w:div w:id="1673213971">
          <w:marLeft w:val="0"/>
          <w:marRight w:val="0"/>
          <w:marTop w:val="0"/>
          <w:marBottom w:val="0"/>
          <w:divBdr>
            <w:top w:val="none" w:sz="0" w:space="0" w:color="auto"/>
            <w:left w:val="none" w:sz="0" w:space="0" w:color="auto"/>
            <w:bottom w:val="none" w:sz="0" w:space="0" w:color="auto"/>
            <w:right w:val="none" w:sz="0" w:space="0" w:color="auto"/>
          </w:divBdr>
        </w:div>
        <w:div w:id="1327128669">
          <w:marLeft w:val="0"/>
          <w:marRight w:val="0"/>
          <w:marTop w:val="0"/>
          <w:marBottom w:val="0"/>
          <w:divBdr>
            <w:top w:val="none" w:sz="0" w:space="0" w:color="auto"/>
            <w:left w:val="none" w:sz="0" w:space="0" w:color="auto"/>
            <w:bottom w:val="none" w:sz="0" w:space="0" w:color="auto"/>
            <w:right w:val="none" w:sz="0" w:space="0" w:color="auto"/>
          </w:divBdr>
        </w:div>
        <w:div w:id="1674607814">
          <w:marLeft w:val="0"/>
          <w:marRight w:val="0"/>
          <w:marTop w:val="0"/>
          <w:marBottom w:val="0"/>
          <w:divBdr>
            <w:top w:val="none" w:sz="0" w:space="0" w:color="auto"/>
            <w:left w:val="none" w:sz="0" w:space="0" w:color="auto"/>
            <w:bottom w:val="none" w:sz="0" w:space="0" w:color="auto"/>
            <w:right w:val="none" w:sz="0" w:space="0" w:color="auto"/>
          </w:divBdr>
        </w:div>
        <w:div w:id="1543900510">
          <w:marLeft w:val="0"/>
          <w:marRight w:val="0"/>
          <w:marTop w:val="0"/>
          <w:marBottom w:val="0"/>
          <w:divBdr>
            <w:top w:val="none" w:sz="0" w:space="0" w:color="auto"/>
            <w:left w:val="none" w:sz="0" w:space="0" w:color="auto"/>
            <w:bottom w:val="none" w:sz="0" w:space="0" w:color="auto"/>
            <w:right w:val="none" w:sz="0" w:space="0" w:color="auto"/>
          </w:divBdr>
        </w:div>
        <w:div w:id="1371684590">
          <w:marLeft w:val="0"/>
          <w:marRight w:val="0"/>
          <w:marTop w:val="0"/>
          <w:marBottom w:val="0"/>
          <w:divBdr>
            <w:top w:val="none" w:sz="0" w:space="0" w:color="auto"/>
            <w:left w:val="none" w:sz="0" w:space="0" w:color="auto"/>
            <w:bottom w:val="none" w:sz="0" w:space="0" w:color="auto"/>
            <w:right w:val="none" w:sz="0" w:space="0" w:color="auto"/>
          </w:divBdr>
        </w:div>
        <w:div w:id="1365137822">
          <w:marLeft w:val="0"/>
          <w:marRight w:val="0"/>
          <w:marTop w:val="0"/>
          <w:marBottom w:val="0"/>
          <w:divBdr>
            <w:top w:val="none" w:sz="0" w:space="0" w:color="auto"/>
            <w:left w:val="none" w:sz="0" w:space="0" w:color="auto"/>
            <w:bottom w:val="none" w:sz="0" w:space="0" w:color="auto"/>
            <w:right w:val="none" w:sz="0" w:space="0" w:color="auto"/>
          </w:divBdr>
        </w:div>
        <w:div w:id="524713630">
          <w:marLeft w:val="0"/>
          <w:marRight w:val="0"/>
          <w:marTop w:val="0"/>
          <w:marBottom w:val="0"/>
          <w:divBdr>
            <w:top w:val="none" w:sz="0" w:space="0" w:color="auto"/>
            <w:left w:val="none" w:sz="0" w:space="0" w:color="auto"/>
            <w:bottom w:val="none" w:sz="0" w:space="0" w:color="auto"/>
            <w:right w:val="none" w:sz="0" w:space="0" w:color="auto"/>
          </w:divBdr>
        </w:div>
        <w:div w:id="317879738">
          <w:marLeft w:val="0"/>
          <w:marRight w:val="0"/>
          <w:marTop w:val="0"/>
          <w:marBottom w:val="0"/>
          <w:divBdr>
            <w:top w:val="none" w:sz="0" w:space="0" w:color="auto"/>
            <w:left w:val="none" w:sz="0" w:space="0" w:color="auto"/>
            <w:bottom w:val="none" w:sz="0" w:space="0" w:color="auto"/>
            <w:right w:val="none" w:sz="0" w:space="0" w:color="auto"/>
          </w:divBdr>
        </w:div>
        <w:div w:id="115175959">
          <w:marLeft w:val="0"/>
          <w:marRight w:val="0"/>
          <w:marTop w:val="0"/>
          <w:marBottom w:val="0"/>
          <w:divBdr>
            <w:top w:val="none" w:sz="0" w:space="0" w:color="auto"/>
            <w:left w:val="none" w:sz="0" w:space="0" w:color="auto"/>
            <w:bottom w:val="none" w:sz="0" w:space="0" w:color="auto"/>
            <w:right w:val="none" w:sz="0" w:space="0" w:color="auto"/>
          </w:divBdr>
        </w:div>
        <w:div w:id="74673114">
          <w:marLeft w:val="0"/>
          <w:marRight w:val="0"/>
          <w:marTop w:val="0"/>
          <w:marBottom w:val="0"/>
          <w:divBdr>
            <w:top w:val="none" w:sz="0" w:space="0" w:color="auto"/>
            <w:left w:val="none" w:sz="0" w:space="0" w:color="auto"/>
            <w:bottom w:val="none" w:sz="0" w:space="0" w:color="auto"/>
            <w:right w:val="none" w:sz="0" w:space="0" w:color="auto"/>
          </w:divBdr>
        </w:div>
        <w:div w:id="724181840">
          <w:marLeft w:val="0"/>
          <w:marRight w:val="0"/>
          <w:marTop w:val="0"/>
          <w:marBottom w:val="0"/>
          <w:divBdr>
            <w:top w:val="none" w:sz="0" w:space="0" w:color="auto"/>
            <w:left w:val="none" w:sz="0" w:space="0" w:color="auto"/>
            <w:bottom w:val="none" w:sz="0" w:space="0" w:color="auto"/>
            <w:right w:val="none" w:sz="0" w:space="0" w:color="auto"/>
          </w:divBdr>
        </w:div>
        <w:div w:id="1330905265">
          <w:marLeft w:val="0"/>
          <w:marRight w:val="0"/>
          <w:marTop w:val="0"/>
          <w:marBottom w:val="0"/>
          <w:divBdr>
            <w:top w:val="none" w:sz="0" w:space="0" w:color="auto"/>
            <w:left w:val="none" w:sz="0" w:space="0" w:color="auto"/>
            <w:bottom w:val="none" w:sz="0" w:space="0" w:color="auto"/>
            <w:right w:val="none" w:sz="0" w:space="0" w:color="auto"/>
          </w:divBdr>
        </w:div>
        <w:div w:id="265309246">
          <w:marLeft w:val="0"/>
          <w:marRight w:val="0"/>
          <w:marTop w:val="0"/>
          <w:marBottom w:val="0"/>
          <w:divBdr>
            <w:top w:val="none" w:sz="0" w:space="0" w:color="auto"/>
            <w:left w:val="none" w:sz="0" w:space="0" w:color="auto"/>
            <w:bottom w:val="none" w:sz="0" w:space="0" w:color="auto"/>
            <w:right w:val="none" w:sz="0" w:space="0" w:color="auto"/>
          </w:divBdr>
        </w:div>
        <w:div w:id="263657292">
          <w:marLeft w:val="0"/>
          <w:marRight w:val="0"/>
          <w:marTop w:val="0"/>
          <w:marBottom w:val="0"/>
          <w:divBdr>
            <w:top w:val="none" w:sz="0" w:space="0" w:color="auto"/>
            <w:left w:val="none" w:sz="0" w:space="0" w:color="auto"/>
            <w:bottom w:val="none" w:sz="0" w:space="0" w:color="auto"/>
            <w:right w:val="none" w:sz="0" w:space="0" w:color="auto"/>
          </w:divBdr>
        </w:div>
        <w:div w:id="1602645006">
          <w:marLeft w:val="0"/>
          <w:marRight w:val="0"/>
          <w:marTop w:val="0"/>
          <w:marBottom w:val="0"/>
          <w:divBdr>
            <w:top w:val="none" w:sz="0" w:space="0" w:color="auto"/>
            <w:left w:val="none" w:sz="0" w:space="0" w:color="auto"/>
            <w:bottom w:val="none" w:sz="0" w:space="0" w:color="auto"/>
            <w:right w:val="none" w:sz="0" w:space="0" w:color="auto"/>
          </w:divBdr>
        </w:div>
        <w:div w:id="258217939">
          <w:marLeft w:val="0"/>
          <w:marRight w:val="0"/>
          <w:marTop w:val="0"/>
          <w:marBottom w:val="0"/>
          <w:divBdr>
            <w:top w:val="none" w:sz="0" w:space="0" w:color="auto"/>
            <w:left w:val="none" w:sz="0" w:space="0" w:color="auto"/>
            <w:bottom w:val="none" w:sz="0" w:space="0" w:color="auto"/>
            <w:right w:val="none" w:sz="0" w:space="0" w:color="auto"/>
          </w:divBdr>
        </w:div>
        <w:div w:id="70466658">
          <w:marLeft w:val="0"/>
          <w:marRight w:val="0"/>
          <w:marTop w:val="0"/>
          <w:marBottom w:val="0"/>
          <w:divBdr>
            <w:top w:val="none" w:sz="0" w:space="0" w:color="auto"/>
            <w:left w:val="none" w:sz="0" w:space="0" w:color="auto"/>
            <w:bottom w:val="none" w:sz="0" w:space="0" w:color="auto"/>
            <w:right w:val="none" w:sz="0" w:space="0" w:color="auto"/>
          </w:divBdr>
        </w:div>
        <w:div w:id="329797593">
          <w:marLeft w:val="0"/>
          <w:marRight w:val="0"/>
          <w:marTop w:val="0"/>
          <w:marBottom w:val="0"/>
          <w:divBdr>
            <w:top w:val="none" w:sz="0" w:space="0" w:color="auto"/>
            <w:left w:val="none" w:sz="0" w:space="0" w:color="auto"/>
            <w:bottom w:val="none" w:sz="0" w:space="0" w:color="auto"/>
            <w:right w:val="none" w:sz="0" w:space="0" w:color="auto"/>
          </w:divBdr>
        </w:div>
        <w:div w:id="1456214779">
          <w:marLeft w:val="0"/>
          <w:marRight w:val="0"/>
          <w:marTop w:val="0"/>
          <w:marBottom w:val="0"/>
          <w:divBdr>
            <w:top w:val="none" w:sz="0" w:space="0" w:color="auto"/>
            <w:left w:val="none" w:sz="0" w:space="0" w:color="auto"/>
            <w:bottom w:val="none" w:sz="0" w:space="0" w:color="auto"/>
            <w:right w:val="none" w:sz="0" w:space="0" w:color="auto"/>
          </w:divBdr>
        </w:div>
        <w:div w:id="627903573">
          <w:marLeft w:val="0"/>
          <w:marRight w:val="0"/>
          <w:marTop w:val="0"/>
          <w:marBottom w:val="0"/>
          <w:divBdr>
            <w:top w:val="none" w:sz="0" w:space="0" w:color="auto"/>
            <w:left w:val="none" w:sz="0" w:space="0" w:color="auto"/>
            <w:bottom w:val="none" w:sz="0" w:space="0" w:color="auto"/>
            <w:right w:val="none" w:sz="0" w:space="0" w:color="auto"/>
          </w:divBdr>
        </w:div>
        <w:div w:id="570627806">
          <w:marLeft w:val="0"/>
          <w:marRight w:val="0"/>
          <w:marTop w:val="0"/>
          <w:marBottom w:val="0"/>
          <w:divBdr>
            <w:top w:val="none" w:sz="0" w:space="0" w:color="auto"/>
            <w:left w:val="none" w:sz="0" w:space="0" w:color="auto"/>
            <w:bottom w:val="none" w:sz="0" w:space="0" w:color="auto"/>
            <w:right w:val="none" w:sz="0" w:space="0" w:color="auto"/>
          </w:divBdr>
        </w:div>
        <w:div w:id="1588735843">
          <w:marLeft w:val="0"/>
          <w:marRight w:val="0"/>
          <w:marTop w:val="0"/>
          <w:marBottom w:val="0"/>
          <w:divBdr>
            <w:top w:val="none" w:sz="0" w:space="0" w:color="auto"/>
            <w:left w:val="none" w:sz="0" w:space="0" w:color="auto"/>
            <w:bottom w:val="none" w:sz="0" w:space="0" w:color="auto"/>
            <w:right w:val="none" w:sz="0" w:space="0" w:color="auto"/>
          </w:divBdr>
        </w:div>
        <w:div w:id="1992438499">
          <w:marLeft w:val="0"/>
          <w:marRight w:val="0"/>
          <w:marTop w:val="0"/>
          <w:marBottom w:val="0"/>
          <w:divBdr>
            <w:top w:val="none" w:sz="0" w:space="0" w:color="auto"/>
            <w:left w:val="none" w:sz="0" w:space="0" w:color="auto"/>
            <w:bottom w:val="none" w:sz="0" w:space="0" w:color="auto"/>
            <w:right w:val="none" w:sz="0" w:space="0" w:color="auto"/>
          </w:divBdr>
        </w:div>
        <w:div w:id="1069380649">
          <w:marLeft w:val="0"/>
          <w:marRight w:val="0"/>
          <w:marTop w:val="0"/>
          <w:marBottom w:val="0"/>
          <w:divBdr>
            <w:top w:val="none" w:sz="0" w:space="0" w:color="auto"/>
            <w:left w:val="none" w:sz="0" w:space="0" w:color="auto"/>
            <w:bottom w:val="none" w:sz="0" w:space="0" w:color="auto"/>
            <w:right w:val="none" w:sz="0" w:space="0" w:color="auto"/>
          </w:divBdr>
        </w:div>
        <w:div w:id="2117090967">
          <w:marLeft w:val="0"/>
          <w:marRight w:val="0"/>
          <w:marTop w:val="0"/>
          <w:marBottom w:val="0"/>
          <w:divBdr>
            <w:top w:val="none" w:sz="0" w:space="0" w:color="auto"/>
            <w:left w:val="none" w:sz="0" w:space="0" w:color="auto"/>
            <w:bottom w:val="none" w:sz="0" w:space="0" w:color="auto"/>
            <w:right w:val="none" w:sz="0" w:space="0" w:color="auto"/>
          </w:divBdr>
        </w:div>
        <w:div w:id="875653572">
          <w:marLeft w:val="0"/>
          <w:marRight w:val="0"/>
          <w:marTop w:val="0"/>
          <w:marBottom w:val="0"/>
          <w:divBdr>
            <w:top w:val="none" w:sz="0" w:space="0" w:color="auto"/>
            <w:left w:val="none" w:sz="0" w:space="0" w:color="auto"/>
            <w:bottom w:val="none" w:sz="0" w:space="0" w:color="auto"/>
            <w:right w:val="none" w:sz="0" w:space="0" w:color="auto"/>
          </w:divBdr>
        </w:div>
        <w:div w:id="512450344">
          <w:marLeft w:val="0"/>
          <w:marRight w:val="0"/>
          <w:marTop w:val="0"/>
          <w:marBottom w:val="0"/>
          <w:divBdr>
            <w:top w:val="none" w:sz="0" w:space="0" w:color="auto"/>
            <w:left w:val="none" w:sz="0" w:space="0" w:color="auto"/>
            <w:bottom w:val="none" w:sz="0" w:space="0" w:color="auto"/>
            <w:right w:val="none" w:sz="0" w:space="0" w:color="auto"/>
          </w:divBdr>
        </w:div>
        <w:div w:id="680085414">
          <w:marLeft w:val="0"/>
          <w:marRight w:val="0"/>
          <w:marTop w:val="0"/>
          <w:marBottom w:val="0"/>
          <w:divBdr>
            <w:top w:val="none" w:sz="0" w:space="0" w:color="auto"/>
            <w:left w:val="none" w:sz="0" w:space="0" w:color="auto"/>
            <w:bottom w:val="none" w:sz="0" w:space="0" w:color="auto"/>
            <w:right w:val="none" w:sz="0" w:space="0" w:color="auto"/>
          </w:divBdr>
        </w:div>
        <w:div w:id="1515072803">
          <w:marLeft w:val="0"/>
          <w:marRight w:val="0"/>
          <w:marTop w:val="0"/>
          <w:marBottom w:val="0"/>
          <w:divBdr>
            <w:top w:val="none" w:sz="0" w:space="0" w:color="auto"/>
            <w:left w:val="none" w:sz="0" w:space="0" w:color="auto"/>
            <w:bottom w:val="none" w:sz="0" w:space="0" w:color="auto"/>
            <w:right w:val="none" w:sz="0" w:space="0" w:color="auto"/>
          </w:divBdr>
        </w:div>
        <w:div w:id="1048913921">
          <w:marLeft w:val="0"/>
          <w:marRight w:val="0"/>
          <w:marTop w:val="0"/>
          <w:marBottom w:val="0"/>
          <w:divBdr>
            <w:top w:val="none" w:sz="0" w:space="0" w:color="auto"/>
            <w:left w:val="none" w:sz="0" w:space="0" w:color="auto"/>
            <w:bottom w:val="none" w:sz="0" w:space="0" w:color="auto"/>
            <w:right w:val="none" w:sz="0" w:space="0" w:color="auto"/>
          </w:divBdr>
        </w:div>
        <w:div w:id="1382558219">
          <w:marLeft w:val="0"/>
          <w:marRight w:val="0"/>
          <w:marTop w:val="0"/>
          <w:marBottom w:val="0"/>
          <w:divBdr>
            <w:top w:val="none" w:sz="0" w:space="0" w:color="auto"/>
            <w:left w:val="none" w:sz="0" w:space="0" w:color="auto"/>
            <w:bottom w:val="none" w:sz="0" w:space="0" w:color="auto"/>
            <w:right w:val="none" w:sz="0" w:space="0" w:color="auto"/>
          </w:divBdr>
        </w:div>
        <w:div w:id="210459671">
          <w:marLeft w:val="0"/>
          <w:marRight w:val="0"/>
          <w:marTop w:val="0"/>
          <w:marBottom w:val="0"/>
          <w:divBdr>
            <w:top w:val="none" w:sz="0" w:space="0" w:color="auto"/>
            <w:left w:val="none" w:sz="0" w:space="0" w:color="auto"/>
            <w:bottom w:val="none" w:sz="0" w:space="0" w:color="auto"/>
            <w:right w:val="none" w:sz="0" w:space="0" w:color="auto"/>
          </w:divBdr>
        </w:div>
      </w:divsChild>
    </w:div>
    <w:div w:id="1980987684">
      <w:bodyDiv w:val="1"/>
      <w:marLeft w:val="0"/>
      <w:marRight w:val="0"/>
      <w:marTop w:val="0"/>
      <w:marBottom w:val="0"/>
      <w:divBdr>
        <w:top w:val="none" w:sz="0" w:space="0" w:color="auto"/>
        <w:left w:val="none" w:sz="0" w:space="0" w:color="auto"/>
        <w:bottom w:val="none" w:sz="0" w:space="0" w:color="auto"/>
        <w:right w:val="none" w:sz="0" w:space="0" w:color="auto"/>
      </w:divBdr>
    </w:div>
    <w:div w:id="198157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716</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tania charris</cp:lastModifiedBy>
  <cp:revision>5</cp:revision>
  <dcterms:created xsi:type="dcterms:W3CDTF">2025-06-06T15:52:00Z</dcterms:created>
  <dcterms:modified xsi:type="dcterms:W3CDTF">2025-06-12T18:55:00Z</dcterms:modified>
</cp:coreProperties>
</file>