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42411" w14:textId="77777777" w:rsidR="008E0485" w:rsidRPr="008E0485" w:rsidRDefault="008E0485" w:rsidP="008E0485">
      <w:pPr>
        <w:spacing w:after="120"/>
        <w:jc w:val="center"/>
        <w:rPr>
          <w:rFonts w:ascii="Cambria" w:hAnsi="Cambria"/>
          <w:b/>
          <w:bCs/>
        </w:rPr>
      </w:pPr>
      <w:r w:rsidRPr="008E0485">
        <w:rPr>
          <w:rFonts w:ascii="Cambria" w:hAnsi="Cambria"/>
          <w:b/>
          <w:bCs/>
        </w:rPr>
        <w:t>Vendor Risk Management Policy (VRMP)</w:t>
      </w:r>
      <w:r w:rsidRPr="008E0485">
        <w:rPr>
          <w:rFonts w:ascii="Cambria" w:hAnsi="Cambria"/>
        </w:rPr>
        <w:br/>
      </w:r>
    </w:p>
    <w:p w14:paraId="2D02512B" w14:textId="275144AB" w:rsidR="008E0485" w:rsidRPr="008E0485" w:rsidRDefault="008E0485" w:rsidP="008E0485">
      <w:pPr>
        <w:spacing w:after="120"/>
        <w:rPr>
          <w:rFonts w:ascii="Cambria" w:hAnsi="Cambria"/>
          <w:sz w:val="20"/>
          <w:szCs w:val="20"/>
        </w:rPr>
      </w:pPr>
      <w:r w:rsidRPr="008E0485">
        <w:rPr>
          <w:rFonts w:ascii="Cambria" w:hAnsi="Cambria"/>
          <w:b/>
          <w:bCs/>
          <w:sz w:val="20"/>
          <w:szCs w:val="20"/>
        </w:rPr>
        <w:t>Policy ID:</w:t>
      </w:r>
      <w:r w:rsidRPr="008E0485">
        <w:rPr>
          <w:rFonts w:ascii="Cambria" w:hAnsi="Cambria"/>
          <w:sz w:val="20"/>
          <w:szCs w:val="20"/>
        </w:rPr>
        <w:t xml:space="preserve"> SEC-VRMP-001</w:t>
      </w:r>
      <w:r w:rsidRPr="008E0485">
        <w:rPr>
          <w:rFonts w:ascii="Cambria" w:hAnsi="Cambria"/>
          <w:sz w:val="20"/>
          <w:szCs w:val="20"/>
        </w:rPr>
        <w:br/>
      </w:r>
      <w:r w:rsidRPr="008E0485">
        <w:rPr>
          <w:rFonts w:ascii="Cambria" w:hAnsi="Cambria"/>
          <w:b/>
          <w:bCs/>
          <w:sz w:val="20"/>
          <w:szCs w:val="20"/>
        </w:rPr>
        <w:t>Version:</w:t>
      </w:r>
      <w:r w:rsidRPr="008E0485">
        <w:rPr>
          <w:rFonts w:ascii="Cambria" w:hAnsi="Cambria"/>
          <w:sz w:val="20"/>
          <w:szCs w:val="20"/>
        </w:rPr>
        <w:t xml:space="preserve"> 1.0</w:t>
      </w:r>
      <w:r w:rsidRPr="008E0485">
        <w:rPr>
          <w:rFonts w:ascii="Cambria" w:hAnsi="Cambria"/>
          <w:sz w:val="20"/>
          <w:szCs w:val="20"/>
        </w:rPr>
        <w:br/>
      </w:r>
      <w:r w:rsidRPr="008E0485">
        <w:rPr>
          <w:rFonts w:ascii="Cambria" w:hAnsi="Cambria"/>
          <w:b/>
          <w:bCs/>
          <w:sz w:val="20"/>
          <w:szCs w:val="20"/>
        </w:rPr>
        <w:t>Approval Date:</w:t>
      </w:r>
      <w:r w:rsidRPr="008E0485">
        <w:rPr>
          <w:rFonts w:ascii="Cambria" w:hAnsi="Cambria"/>
          <w:sz w:val="20"/>
          <w:szCs w:val="20"/>
        </w:rPr>
        <w:t xml:space="preserve"> [Insert Date]</w:t>
      </w:r>
      <w:r w:rsidRPr="008E0485">
        <w:rPr>
          <w:rFonts w:ascii="Cambria" w:hAnsi="Cambria"/>
          <w:sz w:val="20"/>
          <w:szCs w:val="20"/>
        </w:rPr>
        <w:br/>
      </w:r>
      <w:r w:rsidRPr="008E0485">
        <w:rPr>
          <w:rFonts w:ascii="Cambria" w:hAnsi="Cambria"/>
          <w:b/>
          <w:bCs/>
          <w:sz w:val="20"/>
          <w:szCs w:val="20"/>
        </w:rPr>
        <w:t>Next Review Date:</w:t>
      </w:r>
      <w:r w:rsidRPr="008E0485">
        <w:rPr>
          <w:rFonts w:ascii="Cambria" w:hAnsi="Cambria"/>
          <w:sz w:val="20"/>
          <w:szCs w:val="20"/>
        </w:rPr>
        <w:t xml:space="preserve"> [Insert Date + 12 months]</w:t>
      </w:r>
      <w:r w:rsidRPr="008E0485">
        <w:rPr>
          <w:rFonts w:ascii="Cambria" w:hAnsi="Cambria"/>
          <w:sz w:val="20"/>
          <w:szCs w:val="20"/>
        </w:rPr>
        <w:br/>
      </w:r>
      <w:r w:rsidRPr="008E0485">
        <w:rPr>
          <w:rFonts w:ascii="Cambria" w:hAnsi="Cambria"/>
          <w:b/>
          <w:bCs/>
          <w:sz w:val="20"/>
          <w:szCs w:val="20"/>
        </w:rPr>
        <w:t>Owner:</w:t>
      </w:r>
      <w:r w:rsidRPr="008E0485">
        <w:rPr>
          <w:rFonts w:ascii="Cambria" w:hAnsi="Cambria"/>
          <w:sz w:val="20"/>
          <w:szCs w:val="20"/>
        </w:rPr>
        <w:t xml:space="preserve"> Chief Information Security Officer (CISO) / Procurement Lead</w:t>
      </w:r>
      <w:r w:rsidRPr="008E0485">
        <w:rPr>
          <w:rFonts w:ascii="Cambria" w:hAnsi="Cambria"/>
          <w:sz w:val="20"/>
          <w:szCs w:val="20"/>
        </w:rPr>
        <w:br/>
      </w:r>
      <w:r w:rsidRPr="008E0485">
        <w:rPr>
          <w:rFonts w:ascii="Cambria" w:hAnsi="Cambria"/>
          <w:b/>
          <w:bCs/>
          <w:sz w:val="20"/>
          <w:szCs w:val="20"/>
        </w:rPr>
        <w:t>Applies To:</w:t>
      </w:r>
      <w:r w:rsidRPr="008E0485">
        <w:rPr>
          <w:rFonts w:ascii="Cambria" w:hAnsi="Cambria"/>
          <w:sz w:val="20"/>
          <w:szCs w:val="20"/>
        </w:rPr>
        <w:t xml:space="preserve"> All employees, business units, and third-party service providers engaged in sourcing, onboarding, or managing vendor relationships</w:t>
      </w:r>
    </w:p>
    <w:p w14:paraId="4CF09A0A" w14:textId="77777777" w:rsidR="008E0485" w:rsidRPr="008E0485" w:rsidRDefault="008E0485" w:rsidP="008E0485">
      <w:pPr>
        <w:spacing w:after="120"/>
        <w:rPr>
          <w:rFonts w:ascii="Cambria" w:hAnsi="Cambria"/>
          <w:sz w:val="20"/>
          <w:szCs w:val="20"/>
        </w:rPr>
      </w:pPr>
      <w:r w:rsidRPr="008E0485">
        <w:rPr>
          <w:rFonts w:ascii="Cambria" w:hAnsi="Cambria"/>
          <w:sz w:val="20"/>
          <w:szCs w:val="20"/>
        </w:rPr>
        <w:pict w14:anchorId="576DA255">
          <v:rect id="_x0000_i1083" style="width:0;height:1.5pt" o:hralign="center" o:hrstd="t" o:hr="t" fillcolor="#a0a0a0" stroked="f"/>
        </w:pict>
      </w:r>
    </w:p>
    <w:p w14:paraId="45524D0C" w14:textId="77777777" w:rsidR="008E0485" w:rsidRPr="008E0485" w:rsidRDefault="008E0485" w:rsidP="008E0485">
      <w:pPr>
        <w:spacing w:after="120"/>
        <w:rPr>
          <w:rFonts w:ascii="Cambria" w:hAnsi="Cambria"/>
          <w:b/>
          <w:bCs/>
          <w:sz w:val="22"/>
          <w:szCs w:val="22"/>
        </w:rPr>
      </w:pPr>
      <w:r w:rsidRPr="008E0485">
        <w:rPr>
          <w:rFonts w:ascii="Cambria" w:hAnsi="Cambria"/>
          <w:b/>
          <w:bCs/>
          <w:sz w:val="22"/>
          <w:szCs w:val="22"/>
        </w:rPr>
        <w:t>1. Purpose</w:t>
      </w:r>
    </w:p>
    <w:p w14:paraId="01628FEB" w14:textId="77777777" w:rsidR="008E0485" w:rsidRPr="008E0485" w:rsidRDefault="008E0485" w:rsidP="008E0485">
      <w:pPr>
        <w:spacing w:after="0"/>
        <w:rPr>
          <w:rFonts w:ascii="Cambria" w:hAnsi="Cambria"/>
          <w:sz w:val="20"/>
          <w:szCs w:val="20"/>
        </w:rPr>
      </w:pPr>
      <w:r w:rsidRPr="008E0485">
        <w:rPr>
          <w:rFonts w:ascii="Cambria" w:hAnsi="Cambria"/>
          <w:sz w:val="20"/>
          <w:szCs w:val="20"/>
        </w:rPr>
        <w:t>This policy establishes the requirements for identifying, assessing, and managing risks associated with third-party vendors. The objective is to protect [COMPANY NAME]’s systems, data, and operations from threats introduced by external parties.</w:t>
      </w:r>
    </w:p>
    <w:p w14:paraId="3D37D395" w14:textId="4355C97F" w:rsidR="008E0485" w:rsidRPr="008E0485" w:rsidRDefault="008E0485" w:rsidP="008E0485">
      <w:pPr>
        <w:spacing w:after="0"/>
        <w:rPr>
          <w:rFonts w:ascii="Cambria" w:hAnsi="Cambria"/>
          <w:sz w:val="20"/>
          <w:szCs w:val="20"/>
        </w:rPr>
      </w:pPr>
    </w:p>
    <w:p w14:paraId="21BCD13A" w14:textId="77777777" w:rsidR="008E0485" w:rsidRPr="008E0485" w:rsidRDefault="008E0485" w:rsidP="008E0485">
      <w:pPr>
        <w:spacing w:after="120"/>
        <w:rPr>
          <w:rFonts w:ascii="Cambria" w:hAnsi="Cambria"/>
          <w:b/>
          <w:bCs/>
          <w:sz w:val="22"/>
          <w:szCs w:val="22"/>
        </w:rPr>
      </w:pPr>
      <w:r w:rsidRPr="008E0485">
        <w:rPr>
          <w:rFonts w:ascii="Cambria" w:hAnsi="Cambria"/>
          <w:b/>
          <w:bCs/>
          <w:sz w:val="22"/>
          <w:szCs w:val="22"/>
        </w:rPr>
        <w:t>2. Scope</w:t>
      </w:r>
    </w:p>
    <w:p w14:paraId="63B351B2" w14:textId="77777777" w:rsidR="008E0485" w:rsidRPr="008E0485" w:rsidRDefault="008E0485" w:rsidP="008E0485">
      <w:pPr>
        <w:spacing w:after="120"/>
        <w:rPr>
          <w:rFonts w:ascii="Cambria" w:hAnsi="Cambria"/>
          <w:sz w:val="20"/>
          <w:szCs w:val="20"/>
        </w:rPr>
      </w:pPr>
      <w:r w:rsidRPr="008E0485">
        <w:rPr>
          <w:rFonts w:ascii="Cambria" w:hAnsi="Cambria"/>
          <w:sz w:val="20"/>
          <w:szCs w:val="20"/>
        </w:rPr>
        <w:t>This policy applies to all third-party relationships where vendors, suppliers, contractors, or service providers may access, process, transmit, or manage company data or systems. This includes:</w:t>
      </w:r>
    </w:p>
    <w:p w14:paraId="7151F945" w14:textId="77777777" w:rsidR="008E0485" w:rsidRPr="008E0485" w:rsidRDefault="008E0485" w:rsidP="008E0485">
      <w:pPr>
        <w:numPr>
          <w:ilvl w:val="0"/>
          <w:numId w:val="1"/>
        </w:numPr>
        <w:spacing w:after="0"/>
        <w:rPr>
          <w:rFonts w:ascii="Cambria" w:hAnsi="Cambria"/>
          <w:sz w:val="20"/>
          <w:szCs w:val="20"/>
        </w:rPr>
      </w:pPr>
      <w:r w:rsidRPr="008E0485">
        <w:rPr>
          <w:rFonts w:ascii="Cambria" w:hAnsi="Cambria"/>
          <w:sz w:val="20"/>
          <w:szCs w:val="20"/>
        </w:rPr>
        <w:t>Cloud and SaaS providers</w:t>
      </w:r>
    </w:p>
    <w:p w14:paraId="70D4C393" w14:textId="77777777" w:rsidR="008E0485" w:rsidRPr="008E0485" w:rsidRDefault="008E0485" w:rsidP="008E0485">
      <w:pPr>
        <w:numPr>
          <w:ilvl w:val="0"/>
          <w:numId w:val="1"/>
        </w:numPr>
        <w:spacing w:after="0"/>
        <w:rPr>
          <w:rFonts w:ascii="Cambria" w:hAnsi="Cambria"/>
          <w:sz w:val="20"/>
          <w:szCs w:val="20"/>
        </w:rPr>
      </w:pPr>
      <w:r w:rsidRPr="008E0485">
        <w:rPr>
          <w:rFonts w:ascii="Cambria" w:hAnsi="Cambria"/>
          <w:sz w:val="20"/>
          <w:szCs w:val="20"/>
        </w:rPr>
        <w:t>Outsourced IT, support, or security services</w:t>
      </w:r>
    </w:p>
    <w:p w14:paraId="2D5FD3D1" w14:textId="77777777" w:rsidR="008E0485" w:rsidRPr="008E0485" w:rsidRDefault="008E0485" w:rsidP="008E0485">
      <w:pPr>
        <w:numPr>
          <w:ilvl w:val="0"/>
          <w:numId w:val="1"/>
        </w:numPr>
        <w:spacing w:after="0"/>
        <w:rPr>
          <w:rFonts w:ascii="Cambria" w:hAnsi="Cambria"/>
          <w:sz w:val="20"/>
          <w:szCs w:val="20"/>
        </w:rPr>
      </w:pPr>
      <w:r w:rsidRPr="008E0485">
        <w:rPr>
          <w:rFonts w:ascii="Cambria" w:hAnsi="Cambria"/>
          <w:sz w:val="20"/>
          <w:szCs w:val="20"/>
        </w:rPr>
        <w:t>Consultants, contractors, and subcontractors</w:t>
      </w:r>
    </w:p>
    <w:p w14:paraId="504DC4AD" w14:textId="77777777" w:rsidR="008E0485" w:rsidRPr="008E0485" w:rsidRDefault="008E0485" w:rsidP="008E0485">
      <w:pPr>
        <w:numPr>
          <w:ilvl w:val="0"/>
          <w:numId w:val="1"/>
        </w:numPr>
        <w:spacing w:after="0"/>
        <w:rPr>
          <w:rFonts w:ascii="Cambria" w:hAnsi="Cambria"/>
          <w:sz w:val="20"/>
          <w:szCs w:val="20"/>
        </w:rPr>
      </w:pPr>
      <w:r w:rsidRPr="008E0485">
        <w:rPr>
          <w:rFonts w:ascii="Cambria" w:hAnsi="Cambria"/>
          <w:sz w:val="20"/>
          <w:szCs w:val="20"/>
        </w:rPr>
        <w:t>Data hosting, analytics, and managed service partners</w:t>
      </w:r>
    </w:p>
    <w:p w14:paraId="527F1330" w14:textId="3E5AFAD6" w:rsidR="008E0485" w:rsidRPr="008E0485" w:rsidRDefault="008E0485" w:rsidP="008E0485">
      <w:pPr>
        <w:spacing w:after="0"/>
        <w:rPr>
          <w:rFonts w:ascii="Cambria" w:hAnsi="Cambria"/>
          <w:sz w:val="20"/>
          <w:szCs w:val="20"/>
        </w:rPr>
      </w:pPr>
    </w:p>
    <w:p w14:paraId="700FF951" w14:textId="77777777" w:rsidR="008E0485" w:rsidRPr="008E0485" w:rsidRDefault="008E0485" w:rsidP="008E0485">
      <w:pPr>
        <w:spacing w:after="120"/>
        <w:rPr>
          <w:rFonts w:ascii="Cambria" w:hAnsi="Cambria"/>
          <w:b/>
          <w:bCs/>
          <w:sz w:val="22"/>
          <w:szCs w:val="22"/>
        </w:rPr>
      </w:pPr>
      <w:r w:rsidRPr="008E0485">
        <w:rPr>
          <w:rFonts w:ascii="Cambria" w:hAnsi="Cambria"/>
          <w:b/>
          <w:bCs/>
          <w:sz w:val="22"/>
          <w:szCs w:val="22"/>
        </w:rPr>
        <w:t>3. Policy Statements</w:t>
      </w:r>
    </w:p>
    <w:p w14:paraId="2FDC934F" w14:textId="77777777" w:rsidR="008E0485" w:rsidRPr="008E0485" w:rsidRDefault="008E0485" w:rsidP="008E0485">
      <w:pPr>
        <w:spacing w:after="120"/>
        <w:rPr>
          <w:rFonts w:ascii="Cambria" w:hAnsi="Cambria"/>
          <w:b/>
          <w:bCs/>
          <w:sz w:val="20"/>
          <w:szCs w:val="20"/>
        </w:rPr>
      </w:pPr>
      <w:r w:rsidRPr="008E0485">
        <w:rPr>
          <w:rFonts w:ascii="Cambria" w:hAnsi="Cambria"/>
          <w:b/>
          <w:bCs/>
          <w:sz w:val="20"/>
          <w:szCs w:val="20"/>
        </w:rPr>
        <w:t>3.1 Vendor Risk Classification</w:t>
      </w:r>
    </w:p>
    <w:p w14:paraId="3C0C1358" w14:textId="77777777" w:rsidR="008E0485" w:rsidRPr="008E0485" w:rsidRDefault="008E0485" w:rsidP="008E0485">
      <w:pPr>
        <w:numPr>
          <w:ilvl w:val="0"/>
          <w:numId w:val="2"/>
        </w:numPr>
        <w:spacing w:after="0"/>
        <w:rPr>
          <w:rFonts w:ascii="Cambria" w:hAnsi="Cambria"/>
          <w:sz w:val="20"/>
          <w:szCs w:val="20"/>
        </w:rPr>
      </w:pPr>
      <w:r w:rsidRPr="008E0485">
        <w:rPr>
          <w:rFonts w:ascii="Cambria" w:hAnsi="Cambria"/>
          <w:sz w:val="20"/>
          <w:szCs w:val="20"/>
        </w:rPr>
        <w:t xml:space="preserve">All vendors must be risk-ranked based on the criticality of their services, access level, data sensitivity, and regulatory exposure. </w:t>
      </w:r>
      <w:r w:rsidRPr="008E0485">
        <w:rPr>
          <w:rFonts w:ascii="Cambria" w:hAnsi="Cambria"/>
          <w:i/>
          <w:iCs/>
          <w:sz w:val="20"/>
          <w:szCs w:val="20"/>
        </w:rPr>
        <w:t>(NIST SR-3; ISO 27001 A.5.19)</w:t>
      </w:r>
    </w:p>
    <w:p w14:paraId="364EE20C" w14:textId="77777777" w:rsidR="008E0485" w:rsidRPr="008E0485" w:rsidRDefault="008E0485" w:rsidP="008E0485">
      <w:pPr>
        <w:numPr>
          <w:ilvl w:val="0"/>
          <w:numId w:val="2"/>
        </w:numPr>
        <w:spacing w:after="120"/>
        <w:rPr>
          <w:rFonts w:ascii="Cambria" w:hAnsi="Cambria"/>
          <w:sz w:val="20"/>
          <w:szCs w:val="20"/>
        </w:rPr>
      </w:pPr>
      <w:r w:rsidRPr="008E0485">
        <w:rPr>
          <w:rFonts w:ascii="Cambria" w:hAnsi="Cambria"/>
          <w:sz w:val="20"/>
          <w:szCs w:val="20"/>
        </w:rPr>
        <w:t xml:space="preserve">Risk levels (e.g., Low, Medium, High) must drive due diligence depth and review frequency. </w:t>
      </w:r>
      <w:r w:rsidRPr="008E0485">
        <w:rPr>
          <w:rFonts w:ascii="Cambria" w:hAnsi="Cambria"/>
          <w:i/>
          <w:iCs/>
          <w:sz w:val="20"/>
          <w:szCs w:val="20"/>
        </w:rPr>
        <w:t>(NIST PM-11; ISO 27001 A.5.20)</w:t>
      </w:r>
    </w:p>
    <w:p w14:paraId="0B42C05A" w14:textId="77777777" w:rsidR="008E0485" w:rsidRPr="008E0485" w:rsidRDefault="008E0485" w:rsidP="008E0485">
      <w:pPr>
        <w:spacing w:after="120"/>
        <w:rPr>
          <w:rFonts w:ascii="Cambria" w:hAnsi="Cambria"/>
          <w:b/>
          <w:bCs/>
          <w:sz w:val="20"/>
          <w:szCs w:val="20"/>
        </w:rPr>
      </w:pPr>
      <w:r w:rsidRPr="008E0485">
        <w:rPr>
          <w:rFonts w:ascii="Cambria" w:hAnsi="Cambria"/>
          <w:b/>
          <w:bCs/>
          <w:sz w:val="20"/>
          <w:szCs w:val="20"/>
        </w:rPr>
        <w:t>3.2 Due Diligence and Onboarding</w:t>
      </w:r>
    </w:p>
    <w:p w14:paraId="1AD9F5F1" w14:textId="77777777" w:rsidR="008E0485" w:rsidRPr="008E0485" w:rsidRDefault="008E0485" w:rsidP="008E0485">
      <w:pPr>
        <w:numPr>
          <w:ilvl w:val="0"/>
          <w:numId w:val="3"/>
        </w:numPr>
        <w:spacing w:after="0"/>
        <w:rPr>
          <w:rFonts w:ascii="Cambria" w:hAnsi="Cambria"/>
          <w:sz w:val="20"/>
          <w:szCs w:val="20"/>
        </w:rPr>
      </w:pPr>
      <w:r w:rsidRPr="008E0485">
        <w:rPr>
          <w:rFonts w:ascii="Cambria" w:hAnsi="Cambria"/>
          <w:sz w:val="20"/>
          <w:szCs w:val="20"/>
        </w:rPr>
        <w:t xml:space="preserve">Vendors must complete </w:t>
      </w:r>
      <w:proofErr w:type="gramStart"/>
      <w:r w:rsidRPr="008E0485">
        <w:rPr>
          <w:rFonts w:ascii="Cambria" w:hAnsi="Cambria"/>
          <w:sz w:val="20"/>
          <w:szCs w:val="20"/>
        </w:rPr>
        <w:t>a formal</w:t>
      </w:r>
      <w:proofErr w:type="gramEnd"/>
      <w:r w:rsidRPr="008E0485">
        <w:rPr>
          <w:rFonts w:ascii="Cambria" w:hAnsi="Cambria"/>
          <w:sz w:val="20"/>
          <w:szCs w:val="20"/>
        </w:rPr>
        <w:t xml:space="preserve"> security and privacy assessment before contract execution. </w:t>
      </w:r>
      <w:r w:rsidRPr="008E0485">
        <w:rPr>
          <w:rFonts w:ascii="Cambria" w:hAnsi="Cambria"/>
          <w:i/>
          <w:iCs/>
          <w:sz w:val="20"/>
          <w:szCs w:val="20"/>
        </w:rPr>
        <w:t>(NIST SA-12, SA-9; ISO 27001 A.5.20; GDPR Art. 28)</w:t>
      </w:r>
    </w:p>
    <w:p w14:paraId="36BCEFB3" w14:textId="77777777" w:rsidR="008E0485" w:rsidRPr="008E0485" w:rsidRDefault="008E0485" w:rsidP="008E0485">
      <w:pPr>
        <w:numPr>
          <w:ilvl w:val="0"/>
          <w:numId w:val="3"/>
        </w:numPr>
        <w:spacing w:after="0"/>
        <w:rPr>
          <w:rFonts w:ascii="Cambria" w:hAnsi="Cambria"/>
          <w:sz w:val="20"/>
          <w:szCs w:val="20"/>
        </w:rPr>
      </w:pPr>
      <w:r w:rsidRPr="008E0485">
        <w:rPr>
          <w:rFonts w:ascii="Cambria" w:hAnsi="Cambria"/>
          <w:sz w:val="20"/>
          <w:szCs w:val="20"/>
        </w:rPr>
        <w:t xml:space="preserve">Due diligence may include reviewing SOC 2 reports, ISO 27001 certifications, or security questionnaires. </w:t>
      </w:r>
      <w:r w:rsidRPr="008E0485">
        <w:rPr>
          <w:rFonts w:ascii="Cambria" w:hAnsi="Cambria"/>
          <w:i/>
          <w:iCs/>
          <w:sz w:val="20"/>
          <w:szCs w:val="20"/>
        </w:rPr>
        <w:t>(NIST CA-2; ISO 27001 A.5.23)</w:t>
      </w:r>
    </w:p>
    <w:p w14:paraId="09447501" w14:textId="77777777" w:rsidR="008E0485" w:rsidRPr="008E0485" w:rsidRDefault="008E0485" w:rsidP="008E0485">
      <w:pPr>
        <w:numPr>
          <w:ilvl w:val="0"/>
          <w:numId w:val="3"/>
        </w:numPr>
        <w:spacing w:after="120"/>
        <w:rPr>
          <w:rFonts w:ascii="Cambria" w:hAnsi="Cambria"/>
          <w:sz w:val="20"/>
          <w:szCs w:val="20"/>
        </w:rPr>
      </w:pPr>
      <w:r w:rsidRPr="008E0485">
        <w:rPr>
          <w:rFonts w:ascii="Cambria" w:hAnsi="Cambria"/>
          <w:sz w:val="20"/>
          <w:szCs w:val="20"/>
        </w:rPr>
        <w:t xml:space="preserve">All contracts must include data protection clauses, audit rights, breach notification obligations, and termination terms. </w:t>
      </w:r>
      <w:r w:rsidRPr="008E0485">
        <w:rPr>
          <w:rFonts w:ascii="Cambria" w:hAnsi="Cambria"/>
          <w:i/>
          <w:iCs/>
          <w:sz w:val="20"/>
          <w:szCs w:val="20"/>
        </w:rPr>
        <w:t>(NIST SA-4; ISO 27001 A.5.21; GDPR Art. 28(3); CCPA §1798.140(w))</w:t>
      </w:r>
    </w:p>
    <w:p w14:paraId="22496C13" w14:textId="77777777" w:rsidR="008E0485" w:rsidRPr="008E0485" w:rsidRDefault="008E0485" w:rsidP="008E0485">
      <w:pPr>
        <w:spacing w:after="120"/>
        <w:rPr>
          <w:rFonts w:ascii="Cambria" w:hAnsi="Cambria"/>
          <w:b/>
          <w:bCs/>
          <w:sz w:val="20"/>
          <w:szCs w:val="20"/>
        </w:rPr>
      </w:pPr>
      <w:r w:rsidRPr="008E0485">
        <w:rPr>
          <w:rFonts w:ascii="Cambria" w:hAnsi="Cambria"/>
          <w:b/>
          <w:bCs/>
          <w:sz w:val="20"/>
          <w:szCs w:val="20"/>
        </w:rPr>
        <w:t>3.3 Access and Data Controls</w:t>
      </w:r>
    </w:p>
    <w:p w14:paraId="75C3DE08" w14:textId="77777777" w:rsidR="008E0485" w:rsidRPr="008E0485" w:rsidRDefault="008E0485" w:rsidP="008E0485">
      <w:pPr>
        <w:numPr>
          <w:ilvl w:val="0"/>
          <w:numId w:val="4"/>
        </w:numPr>
        <w:spacing w:after="0"/>
        <w:rPr>
          <w:rFonts w:ascii="Cambria" w:hAnsi="Cambria"/>
          <w:sz w:val="20"/>
          <w:szCs w:val="20"/>
        </w:rPr>
      </w:pPr>
      <w:r w:rsidRPr="008E0485">
        <w:rPr>
          <w:rFonts w:ascii="Cambria" w:hAnsi="Cambria"/>
          <w:sz w:val="20"/>
          <w:szCs w:val="20"/>
        </w:rPr>
        <w:t xml:space="preserve">Vendors may only access systems or data necessary to deliver their contracted service (least privilege). </w:t>
      </w:r>
      <w:r w:rsidRPr="008E0485">
        <w:rPr>
          <w:rFonts w:ascii="Cambria" w:hAnsi="Cambria"/>
          <w:i/>
          <w:iCs/>
          <w:sz w:val="20"/>
          <w:szCs w:val="20"/>
        </w:rPr>
        <w:t>(NIST AC-6; ISO 27001 A.5.18)</w:t>
      </w:r>
    </w:p>
    <w:p w14:paraId="7629BD88" w14:textId="77777777" w:rsidR="008E0485" w:rsidRPr="008E0485" w:rsidRDefault="008E0485" w:rsidP="008E0485">
      <w:pPr>
        <w:numPr>
          <w:ilvl w:val="0"/>
          <w:numId w:val="4"/>
        </w:numPr>
        <w:spacing w:after="0"/>
        <w:rPr>
          <w:rFonts w:ascii="Cambria" w:hAnsi="Cambria"/>
          <w:sz w:val="20"/>
          <w:szCs w:val="20"/>
        </w:rPr>
      </w:pPr>
      <w:r w:rsidRPr="008E0485">
        <w:rPr>
          <w:rFonts w:ascii="Cambria" w:hAnsi="Cambria"/>
          <w:sz w:val="20"/>
          <w:szCs w:val="20"/>
        </w:rPr>
        <w:t xml:space="preserve">All external access must </w:t>
      </w:r>
      <w:proofErr w:type="gramStart"/>
      <w:r w:rsidRPr="008E0485">
        <w:rPr>
          <w:rFonts w:ascii="Cambria" w:hAnsi="Cambria"/>
          <w:sz w:val="20"/>
          <w:szCs w:val="20"/>
        </w:rPr>
        <w:t>use</w:t>
      </w:r>
      <w:proofErr w:type="gramEnd"/>
      <w:r w:rsidRPr="008E0485">
        <w:rPr>
          <w:rFonts w:ascii="Cambria" w:hAnsi="Cambria"/>
          <w:sz w:val="20"/>
          <w:szCs w:val="20"/>
        </w:rPr>
        <w:t xml:space="preserve"> secure channels (e.g., VPN, MFA) and be logged and monitored. </w:t>
      </w:r>
      <w:r w:rsidRPr="008E0485">
        <w:rPr>
          <w:rFonts w:ascii="Cambria" w:hAnsi="Cambria"/>
          <w:i/>
          <w:iCs/>
          <w:sz w:val="20"/>
          <w:szCs w:val="20"/>
        </w:rPr>
        <w:t>(NIST AC-17, AU-2; ISO 27001 A.5.20)</w:t>
      </w:r>
    </w:p>
    <w:p w14:paraId="3A590883" w14:textId="77777777" w:rsidR="008E0485" w:rsidRPr="008E0485" w:rsidRDefault="008E0485" w:rsidP="008E0485">
      <w:pPr>
        <w:numPr>
          <w:ilvl w:val="0"/>
          <w:numId w:val="4"/>
        </w:numPr>
        <w:spacing w:after="120"/>
        <w:rPr>
          <w:rFonts w:ascii="Cambria" w:hAnsi="Cambria"/>
          <w:sz w:val="20"/>
          <w:szCs w:val="20"/>
        </w:rPr>
      </w:pPr>
      <w:r w:rsidRPr="008E0485">
        <w:rPr>
          <w:rFonts w:ascii="Cambria" w:hAnsi="Cambria"/>
          <w:sz w:val="20"/>
          <w:szCs w:val="20"/>
        </w:rPr>
        <w:lastRenderedPageBreak/>
        <w:t xml:space="preserve">Vendors must not use company data for any purpose outside the scope of the agreement. </w:t>
      </w:r>
      <w:r w:rsidRPr="008E0485">
        <w:rPr>
          <w:rFonts w:ascii="Cambria" w:hAnsi="Cambria"/>
          <w:i/>
          <w:iCs/>
          <w:sz w:val="20"/>
          <w:szCs w:val="20"/>
        </w:rPr>
        <w:t>(GDPR Art. 5(1)(b); CCPA §1798.105(c))</w:t>
      </w:r>
    </w:p>
    <w:p w14:paraId="04A8580B" w14:textId="77777777" w:rsidR="008E0485" w:rsidRPr="008E0485" w:rsidRDefault="008E0485" w:rsidP="008E0485">
      <w:pPr>
        <w:spacing w:after="120"/>
        <w:rPr>
          <w:rFonts w:ascii="Cambria" w:hAnsi="Cambria"/>
          <w:b/>
          <w:bCs/>
          <w:sz w:val="20"/>
          <w:szCs w:val="20"/>
        </w:rPr>
      </w:pPr>
      <w:r w:rsidRPr="008E0485">
        <w:rPr>
          <w:rFonts w:ascii="Cambria" w:hAnsi="Cambria"/>
          <w:b/>
          <w:bCs/>
          <w:sz w:val="20"/>
          <w:szCs w:val="20"/>
        </w:rPr>
        <w:t>3.4 Ongoing Monitoring</w:t>
      </w:r>
    </w:p>
    <w:p w14:paraId="4946584A" w14:textId="77777777" w:rsidR="008E0485" w:rsidRPr="008E0485" w:rsidRDefault="008E0485" w:rsidP="008E0485">
      <w:pPr>
        <w:numPr>
          <w:ilvl w:val="0"/>
          <w:numId w:val="5"/>
        </w:numPr>
        <w:spacing w:after="0"/>
        <w:rPr>
          <w:rFonts w:ascii="Cambria" w:hAnsi="Cambria"/>
          <w:sz w:val="20"/>
          <w:szCs w:val="20"/>
        </w:rPr>
      </w:pPr>
      <w:r w:rsidRPr="008E0485">
        <w:rPr>
          <w:rFonts w:ascii="Cambria" w:hAnsi="Cambria"/>
          <w:sz w:val="20"/>
          <w:szCs w:val="20"/>
        </w:rPr>
        <w:t xml:space="preserve">High-risk vendors must be reviewed annually, with updated assessments and contract </w:t>
      </w:r>
      <w:proofErr w:type="gramStart"/>
      <w:r w:rsidRPr="008E0485">
        <w:rPr>
          <w:rFonts w:ascii="Cambria" w:hAnsi="Cambria"/>
          <w:sz w:val="20"/>
          <w:szCs w:val="20"/>
        </w:rPr>
        <w:t>refreshes</w:t>
      </w:r>
      <w:proofErr w:type="gramEnd"/>
      <w:r w:rsidRPr="008E0485">
        <w:rPr>
          <w:rFonts w:ascii="Cambria" w:hAnsi="Cambria"/>
          <w:sz w:val="20"/>
          <w:szCs w:val="20"/>
        </w:rPr>
        <w:t xml:space="preserve"> as needed. </w:t>
      </w:r>
      <w:r w:rsidRPr="008E0485">
        <w:rPr>
          <w:rFonts w:ascii="Cambria" w:hAnsi="Cambria"/>
          <w:i/>
          <w:iCs/>
          <w:sz w:val="20"/>
          <w:szCs w:val="20"/>
        </w:rPr>
        <w:t>(NIST SR-6; ISO 27001 A.5.20)</w:t>
      </w:r>
    </w:p>
    <w:p w14:paraId="2AB5F4DD" w14:textId="77777777" w:rsidR="008E0485" w:rsidRPr="008E0485" w:rsidRDefault="008E0485" w:rsidP="008E0485">
      <w:pPr>
        <w:numPr>
          <w:ilvl w:val="0"/>
          <w:numId w:val="5"/>
        </w:numPr>
        <w:spacing w:after="0"/>
        <w:rPr>
          <w:rFonts w:ascii="Cambria" w:hAnsi="Cambria"/>
          <w:sz w:val="20"/>
          <w:szCs w:val="20"/>
        </w:rPr>
      </w:pPr>
      <w:r w:rsidRPr="008E0485">
        <w:rPr>
          <w:rFonts w:ascii="Cambria" w:hAnsi="Cambria"/>
          <w:sz w:val="20"/>
          <w:szCs w:val="20"/>
        </w:rPr>
        <w:t xml:space="preserve">Vendors must notify [COMPANY NAME] of any security incident, control failure, or material business change within 72 hours. </w:t>
      </w:r>
      <w:r w:rsidRPr="008E0485">
        <w:rPr>
          <w:rFonts w:ascii="Cambria" w:hAnsi="Cambria"/>
          <w:i/>
          <w:iCs/>
          <w:sz w:val="20"/>
          <w:szCs w:val="20"/>
        </w:rPr>
        <w:t>(NIST IR-6; ISO 27001 A.5.25; GDPR Art. 33)</w:t>
      </w:r>
    </w:p>
    <w:p w14:paraId="217F7DEE" w14:textId="77777777" w:rsidR="008E0485" w:rsidRPr="008E0485" w:rsidRDefault="008E0485" w:rsidP="008E0485">
      <w:pPr>
        <w:numPr>
          <w:ilvl w:val="0"/>
          <w:numId w:val="5"/>
        </w:numPr>
        <w:spacing w:after="120"/>
        <w:rPr>
          <w:rFonts w:ascii="Cambria" w:hAnsi="Cambria"/>
          <w:sz w:val="20"/>
          <w:szCs w:val="20"/>
        </w:rPr>
      </w:pPr>
      <w:r w:rsidRPr="008E0485">
        <w:rPr>
          <w:rFonts w:ascii="Cambria" w:hAnsi="Cambria"/>
          <w:sz w:val="20"/>
          <w:szCs w:val="20"/>
        </w:rPr>
        <w:t xml:space="preserve">Vendor performance and compliance must be monitored using KPIs, SLAs, or third-party risk management tools. </w:t>
      </w:r>
      <w:r w:rsidRPr="008E0485">
        <w:rPr>
          <w:rFonts w:ascii="Cambria" w:hAnsi="Cambria"/>
          <w:i/>
          <w:iCs/>
          <w:sz w:val="20"/>
          <w:szCs w:val="20"/>
        </w:rPr>
        <w:t>(NIST CA-7; ISO 27001 A.5.23)</w:t>
      </w:r>
    </w:p>
    <w:p w14:paraId="330EDD6B" w14:textId="77777777" w:rsidR="008E0485" w:rsidRPr="008E0485" w:rsidRDefault="008E0485" w:rsidP="008E0485">
      <w:pPr>
        <w:spacing w:after="120"/>
        <w:rPr>
          <w:rFonts w:ascii="Cambria" w:hAnsi="Cambria"/>
          <w:b/>
          <w:bCs/>
          <w:sz w:val="20"/>
          <w:szCs w:val="20"/>
        </w:rPr>
      </w:pPr>
      <w:r w:rsidRPr="008E0485">
        <w:rPr>
          <w:rFonts w:ascii="Cambria" w:hAnsi="Cambria"/>
          <w:b/>
          <w:bCs/>
          <w:sz w:val="20"/>
          <w:szCs w:val="20"/>
        </w:rPr>
        <w:t>3.5 Offboarding and Contract Termination</w:t>
      </w:r>
    </w:p>
    <w:p w14:paraId="5C51100F" w14:textId="77777777" w:rsidR="008E0485" w:rsidRPr="008E0485" w:rsidRDefault="008E0485" w:rsidP="008E0485">
      <w:pPr>
        <w:numPr>
          <w:ilvl w:val="0"/>
          <w:numId w:val="6"/>
        </w:numPr>
        <w:spacing w:after="0"/>
        <w:rPr>
          <w:rFonts w:ascii="Cambria" w:hAnsi="Cambria"/>
          <w:sz w:val="20"/>
          <w:szCs w:val="20"/>
        </w:rPr>
      </w:pPr>
      <w:r w:rsidRPr="008E0485">
        <w:rPr>
          <w:rFonts w:ascii="Cambria" w:hAnsi="Cambria"/>
          <w:sz w:val="20"/>
          <w:szCs w:val="20"/>
        </w:rPr>
        <w:t xml:space="preserve">Upon termination, vendor access must be revoked </w:t>
      </w:r>
      <w:proofErr w:type="gramStart"/>
      <w:r w:rsidRPr="008E0485">
        <w:rPr>
          <w:rFonts w:ascii="Cambria" w:hAnsi="Cambria"/>
          <w:sz w:val="20"/>
          <w:szCs w:val="20"/>
        </w:rPr>
        <w:t>immediately</w:t>
      </w:r>
      <w:proofErr w:type="gramEnd"/>
      <w:r w:rsidRPr="008E0485">
        <w:rPr>
          <w:rFonts w:ascii="Cambria" w:hAnsi="Cambria"/>
          <w:sz w:val="20"/>
          <w:szCs w:val="20"/>
        </w:rPr>
        <w:t xml:space="preserve"> and all company data must be returned or securely destroyed. </w:t>
      </w:r>
      <w:r w:rsidRPr="008E0485">
        <w:rPr>
          <w:rFonts w:ascii="Cambria" w:hAnsi="Cambria"/>
          <w:i/>
          <w:iCs/>
          <w:sz w:val="20"/>
          <w:szCs w:val="20"/>
        </w:rPr>
        <w:t>(NIST MP-6, AC-2(5); ISO 27001 A.8.11)</w:t>
      </w:r>
    </w:p>
    <w:p w14:paraId="2CE20683" w14:textId="77777777" w:rsidR="008E0485" w:rsidRPr="008E0485" w:rsidRDefault="008E0485" w:rsidP="008E0485">
      <w:pPr>
        <w:numPr>
          <w:ilvl w:val="0"/>
          <w:numId w:val="6"/>
        </w:numPr>
        <w:spacing w:after="0"/>
        <w:rPr>
          <w:rFonts w:ascii="Cambria" w:hAnsi="Cambria"/>
          <w:sz w:val="20"/>
          <w:szCs w:val="20"/>
        </w:rPr>
      </w:pPr>
      <w:r w:rsidRPr="008E0485">
        <w:rPr>
          <w:rFonts w:ascii="Cambria" w:hAnsi="Cambria"/>
          <w:sz w:val="20"/>
          <w:szCs w:val="20"/>
        </w:rPr>
        <w:t xml:space="preserve">Recovery of hardware, credentials, encryption keys, and confidential information must be documented and confirmed. </w:t>
      </w:r>
      <w:r w:rsidRPr="008E0485">
        <w:rPr>
          <w:rFonts w:ascii="Cambria" w:hAnsi="Cambria"/>
          <w:i/>
          <w:iCs/>
          <w:sz w:val="20"/>
          <w:szCs w:val="20"/>
        </w:rPr>
        <w:t>(NIST PE-3; ISO 27001 A.8.10)</w:t>
      </w:r>
    </w:p>
    <w:p w14:paraId="76209B1D" w14:textId="2A31053C" w:rsidR="008E0485" w:rsidRPr="008E0485" w:rsidRDefault="008E0485" w:rsidP="008E0485">
      <w:pPr>
        <w:spacing w:after="0"/>
        <w:rPr>
          <w:rFonts w:ascii="Cambria" w:hAnsi="Cambria"/>
          <w:sz w:val="20"/>
          <w:szCs w:val="20"/>
        </w:rPr>
      </w:pPr>
    </w:p>
    <w:p w14:paraId="5BEBAB55" w14:textId="77777777" w:rsidR="008E0485" w:rsidRPr="008E0485" w:rsidRDefault="008E0485" w:rsidP="008E0485">
      <w:pPr>
        <w:spacing w:after="120"/>
        <w:rPr>
          <w:rFonts w:ascii="Cambria" w:hAnsi="Cambria"/>
          <w:b/>
          <w:bCs/>
          <w:sz w:val="22"/>
          <w:szCs w:val="22"/>
        </w:rPr>
      </w:pPr>
      <w:r w:rsidRPr="008E0485">
        <w:rPr>
          <w:rFonts w:ascii="Cambria" w:hAnsi="Cambria"/>
          <w:b/>
          <w:bCs/>
          <w:sz w:val="22"/>
          <w:szCs w:val="22"/>
        </w:rPr>
        <w:t>4.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7508"/>
      </w:tblGrid>
      <w:tr w:rsidR="008E0485" w:rsidRPr="008E0485" w14:paraId="43EBB0A4" w14:textId="77777777" w:rsidTr="008E0485">
        <w:trPr>
          <w:trHeight w:val="405"/>
          <w:tblCellSpacing w:w="15" w:type="dxa"/>
        </w:trPr>
        <w:tc>
          <w:tcPr>
            <w:tcW w:w="1807" w:type="dxa"/>
            <w:vAlign w:val="center"/>
            <w:hideMark/>
          </w:tcPr>
          <w:p w14:paraId="4BCFBCA8" w14:textId="77777777" w:rsidR="008E0485" w:rsidRPr="008E0485" w:rsidRDefault="008E0485" w:rsidP="008E0485">
            <w:pPr>
              <w:spacing w:after="0"/>
              <w:rPr>
                <w:rFonts w:ascii="Cambria" w:hAnsi="Cambria"/>
                <w:sz w:val="20"/>
                <w:szCs w:val="20"/>
              </w:rPr>
            </w:pPr>
            <w:r w:rsidRPr="008E0485">
              <w:rPr>
                <w:rFonts w:ascii="Cambria" w:hAnsi="Cambria"/>
                <w:b/>
                <w:bCs/>
                <w:sz w:val="20"/>
                <w:szCs w:val="20"/>
              </w:rPr>
              <w:t>Procurement</w:t>
            </w:r>
          </w:p>
        </w:tc>
        <w:tc>
          <w:tcPr>
            <w:tcW w:w="7463" w:type="dxa"/>
            <w:vAlign w:val="center"/>
            <w:hideMark/>
          </w:tcPr>
          <w:p w14:paraId="7B854D19" w14:textId="77777777" w:rsidR="008E0485" w:rsidRPr="008E0485" w:rsidRDefault="008E0485" w:rsidP="008E0485">
            <w:pPr>
              <w:spacing w:after="0"/>
              <w:rPr>
                <w:rFonts w:ascii="Cambria" w:hAnsi="Cambria"/>
                <w:sz w:val="20"/>
                <w:szCs w:val="20"/>
              </w:rPr>
            </w:pPr>
            <w:r w:rsidRPr="008E0485">
              <w:rPr>
                <w:rFonts w:ascii="Cambria" w:hAnsi="Cambria"/>
                <w:sz w:val="20"/>
                <w:szCs w:val="20"/>
              </w:rPr>
              <w:t>Initiates vendor onboarding, ensures required assessments and contracts are in place.</w:t>
            </w:r>
          </w:p>
        </w:tc>
      </w:tr>
      <w:tr w:rsidR="008E0485" w:rsidRPr="008E0485" w14:paraId="3FCA523C" w14:textId="77777777" w:rsidTr="008E0485">
        <w:trPr>
          <w:trHeight w:val="384"/>
          <w:tblCellSpacing w:w="15" w:type="dxa"/>
        </w:trPr>
        <w:tc>
          <w:tcPr>
            <w:tcW w:w="1807" w:type="dxa"/>
            <w:vAlign w:val="center"/>
            <w:hideMark/>
          </w:tcPr>
          <w:p w14:paraId="43E46775" w14:textId="77777777" w:rsidR="008E0485" w:rsidRPr="008E0485" w:rsidRDefault="008E0485" w:rsidP="008E0485">
            <w:pPr>
              <w:spacing w:after="0"/>
              <w:rPr>
                <w:rFonts w:ascii="Cambria" w:hAnsi="Cambria"/>
                <w:sz w:val="20"/>
                <w:szCs w:val="20"/>
              </w:rPr>
            </w:pPr>
            <w:r w:rsidRPr="008E0485">
              <w:rPr>
                <w:rFonts w:ascii="Cambria" w:hAnsi="Cambria"/>
                <w:b/>
                <w:bCs/>
                <w:sz w:val="20"/>
                <w:szCs w:val="20"/>
              </w:rPr>
              <w:t>Business Units</w:t>
            </w:r>
          </w:p>
        </w:tc>
        <w:tc>
          <w:tcPr>
            <w:tcW w:w="7463" w:type="dxa"/>
            <w:vAlign w:val="center"/>
            <w:hideMark/>
          </w:tcPr>
          <w:p w14:paraId="2C61D237" w14:textId="77777777" w:rsidR="008E0485" w:rsidRPr="008E0485" w:rsidRDefault="008E0485" w:rsidP="008E0485">
            <w:pPr>
              <w:spacing w:after="0"/>
              <w:rPr>
                <w:rFonts w:ascii="Cambria" w:hAnsi="Cambria"/>
                <w:sz w:val="20"/>
                <w:szCs w:val="20"/>
              </w:rPr>
            </w:pPr>
            <w:r w:rsidRPr="008E0485">
              <w:rPr>
                <w:rFonts w:ascii="Cambria" w:hAnsi="Cambria"/>
                <w:sz w:val="20"/>
                <w:szCs w:val="20"/>
              </w:rPr>
              <w:t>Define vendor requirements, ensure alignment with functional and compliance goals.</w:t>
            </w:r>
          </w:p>
        </w:tc>
      </w:tr>
      <w:tr w:rsidR="008E0485" w:rsidRPr="008E0485" w14:paraId="7BA20A86" w14:textId="77777777" w:rsidTr="008E0485">
        <w:trPr>
          <w:trHeight w:val="393"/>
          <w:tblCellSpacing w:w="15" w:type="dxa"/>
        </w:trPr>
        <w:tc>
          <w:tcPr>
            <w:tcW w:w="1807" w:type="dxa"/>
            <w:vAlign w:val="center"/>
            <w:hideMark/>
          </w:tcPr>
          <w:p w14:paraId="4FC1A1DC" w14:textId="77777777" w:rsidR="008E0485" w:rsidRPr="008E0485" w:rsidRDefault="008E0485" w:rsidP="008E0485">
            <w:pPr>
              <w:spacing w:after="0"/>
              <w:rPr>
                <w:rFonts w:ascii="Cambria" w:hAnsi="Cambria"/>
                <w:sz w:val="20"/>
                <w:szCs w:val="20"/>
              </w:rPr>
            </w:pPr>
            <w:r w:rsidRPr="008E0485">
              <w:rPr>
                <w:rFonts w:ascii="Cambria" w:hAnsi="Cambria"/>
                <w:b/>
                <w:bCs/>
                <w:sz w:val="20"/>
                <w:szCs w:val="20"/>
              </w:rPr>
              <w:t>Security/GRC Team</w:t>
            </w:r>
          </w:p>
        </w:tc>
        <w:tc>
          <w:tcPr>
            <w:tcW w:w="7463" w:type="dxa"/>
            <w:vAlign w:val="center"/>
            <w:hideMark/>
          </w:tcPr>
          <w:p w14:paraId="526B5B7F" w14:textId="77777777" w:rsidR="008E0485" w:rsidRPr="008E0485" w:rsidRDefault="008E0485" w:rsidP="008E0485">
            <w:pPr>
              <w:spacing w:after="0"/>
              <w:rPr>
                <w:rFonts w:ascii="Cambria" w:hAnsi="Cambria"/>
                <w:sz w:val="20"/>
                <w:szCs w:val="20"/>
              </w:rPr>
            </w:pPr>
            <w:proofErr w:type="gramStart"/>
            <w:r w:rsidRPr="008E0485">
              <w:rPr>
                <w:rFonts w:ascii="Cambria" w:hAnsi="Cambria"/>
                <w:sz w:val="20"/>
                <w:szCs w:val="20"/>
              </w:rPr>
              <w:t>Conducts</w:t>
            </w:r>
            <w:proofErr w:type="gramEnd"/>
            <w:r w:rsidRPr="008E0485">
              <w:rPr>
                <w:rFonts w:ascii="Cambria" w:hAnsi="Cambria"/>
                <w:sz w:val="20"/>
                <w:szCs w:val="20"/>
              </w:rPr>
              <w:t xml:space="preserve"> vendor risk assessments and manages technical/contractual controls.</w:t>
            </w:r>
          </w:p>
        </w:tc>
      </w:tr>
      <w:tr w:rsidR="008E0485" w:rsidRPr="008E0485" w14:paraId="7F51F57E" w14:textId="77777777" w:rsidTr="008E0485">
        <w:trPr>
          <w:trHeight w:val="393"/>
          <w:tblCellSpacing w:w="15" w:type="dxa"/>
        </w:trPr>
        <w:tc>
          <w:tcPr>
            <w:tcW w:w="1807" w:type="dxa"/>
            <w:vAlign w:val="center"/>
            <w:hideMark/>
          </w:tcPr>
          <w:p w14:paraId="127AAC65" w14:textId="77777777" w:rsidR="008E0485" w:rsidRPr="008E0485" w:rsidRDefault="008E0485" w:rsidP="008E0485">
            <w:pPr>
              <w:spacing w:after="0"/>
              <w:rPr>
                <w:rFonts w:ascii="Cambria" w:hAnsi="Cambria"/>
                <w:sz w:val="20"/>
                <w:szCs w:val="20"/>
              </w:rPr>
            </w:pPr>
            <w:r w:rsidRPr="008E0485">
              <w:rPr>
                <w:rFonts w:ascii="Cambria" w:hAnsi="Cambria"/>
                <w:b/>
                <w:bCs/>
                <w:sz w:val="20"/>
                <w:szCs w:val="20"/>
              </w:rPr>
              <w:t>Legal/Compliance</w:t>
            </w:r>
          </w:p>
        </w:tc>
        <w:tc>
          <w:tcPr>
            <w:tcW w:w="7463" w:type="dxa"/>
            <w:vAlign w:val="center"/>
            <w:hideMark/>
          </w:tcPr>
          <w:p w14:paraId="07345FF5" w14:textId="77777777" w:rsidR="008E0485" w:rsidRPr="008E0485" w:rsidRDefault="008E0485" w:rsidP="008E0485">
            <w:pPr>
              <w:spacing w:after="0"/>
              <w:rPr>
                <w:rFonts w:ascii="Cambria" w:hAnsi="Cambria"/>
                <w:sz w:val="20"/>
                <w:szCs w:val="20"/>
              </w:rPr>
            </w:pPr>
            <w:r w:rsidRPr="008E0485">
              <w:rPr>
                <w:rFonts w:ascii="Cambria" w:hAnsi="Cambria"/>
                <w:sz w:val="20"/>
                <w:szCs w:val="20"/>
              </w:rPr>
              <w:t>Reviews vendor agreements and ensures regulatory clauses meet requirements.</w:t>
            </w:r>
          </w:p>
        </w:tc>
      </w:tr>
      <w:tr w:rsidR="008E0485" w:rsidRPr="008E0485" w14:paraId="35985C92" w14:textId="77777777" w:rsidTr="008E0485">
        <w:trPr>
          <w:trHeight w:val="303"/>
          <w:tblCellSpacing w:w="15" w:type="dxa"/>
        </w:trPr>
        <w:tc>
          <w:tcPr>
            <w:tcW w:w="1807" w:type="dxa"/>
            <w:vAlign w:val="center"/>
            <w:hideMark/>
          </w:tcPr>
          <w:p w14:paraId="0643EB85" w14:textId="77777777" w:rsidR="008E0485" w:rsidRPr="008E0485" w:rsidRDefault="008E0485" w:rsidP="008E0485">
            <w:pPr>
              <w:spacing w:after="0"/>
              <w:rPr>
                <w:rFonts w:ascii="Cambria" w:hAnsi="Cambria"/>
                <w:sz w:val="20"/>
                <w:szCs w:val="20"/>
              </w:rPr>
            </w:pPr>
            <w:r w:rsidRPr="008E0485">
              <w:rPr>
                <w:rFonts w:ascii="Cambria" w:hAnsi="Cambria"/>
                <w:b/>
                <w:bCs/>
                <w:sz w:val="20"/>
                <w:szCs w:val="20"/>
              </w:rPr>
              <w:t>IT Operations</w:t>
            </w:r>
          </w:p>
        </w:tc>
        <w:tc>
          <w:tcPr>
            <w:tcW w:w="7463" w:type="dxa"/>
            <w:vAlign w:val="center"/>
            <w:hideMark/>
          </w:tcPr>
          <w:p w14:paraId="76AF13D2" w14:textId="77777777" w:rsidR="008E0485" w:rsidRPr="008E0485" w:rsidRDefault="008E0485" w:rsidP="008E0485">
            <w:pPr>
              <w:spacing w:after="0"/>
              <w:rPr>
                <w:rFonts w:ascii="Cambria" w:hAnsi="Cambria"/>
                <w:sz w:val="20"/>
                <w:szCs w:val="20"/>
              </w:rPr>
            </w:pPr>
            <w:r w:rsidRPr="008E0485">
              <w:rPr>
                <w:rFonts w:ascii="Cambria" w:hAnsi="Cambria"/>
                <w:sz w:val="20"/>
                <w:szCs w:val="20"/>
              </w:rPr>
              <w:t>Implements and monitors secure technical access for vendor accounts or integrations.</w:t>
            </w:r>
          </w:p>
        </w:tc>
      </w:tr>
    </w:tbl>
    <w:p w14:paraId="31241B7D" w14:textId="7A193EAD" w:rsidR="008E0485" w:rsidRPr="008E0485" w:rsidRDefault="008E0485" w:rsidP="008E0485">
      <w:pPr>
        <w:spacing w:after="0"/>
        <w:rPr>
          <w:rFonts w:ascii="Cambria" w:hAnsi="Cambria"/>
          <w:sz w:val="20"/>
          <w:szCs w:val="20"/>
        </w:rPr>
      </w:pPr>
    </w:p>
    <w:p w14:paraId="513F6B11" w14:textId="77777777" w:rsidR="008E0485" w:rsidRPr="008E0485" w:rsidRDefault="008E0485" w:rsidP="008E0485">
      <w:pPr>
        <w:spacing w:after="120"/>
        <w:rPr>
          <w:rFonts w:ascii="Cambria" w:hAnsi="Cambria"/>
          <w:b/>
          <w:bCs/>
          <w:sz w:val="22"/>
          <w:szCs w:val="22"/>
        </w:rPr>
      </w:pPr>
      <w:r w:rsidRPr="008E0485">
        <w:rPr>
          <w:rFonts w:ascii="Cambria" w:hAnsi="Cambria"/>
          <w:b/>
          <w:bCs/>
          <w:sz w:val="22"/>
          <w:szCs w:val="22"/>
        </w:rPr>
        <w:t>5. Compliance and Enforcement</w:t>
      </w:r>
    </w:p>
    <w:p w14:paraId="08FB5128" w14:textId="77777777" w:rsidR="008E0485" w:rsidRPr="008E0485" w:rsidRDefault="008E0485" w:rsidP="008E0485">
      <w:pPr>
        <w:spacing w:after="0"/>
        <w:rPr>
          <w:rFonts w:ascii="Cambria" w:hAnsi="Cambria"/>
          <w:sz w:val="20"/>
          <w:szCs w:val="20"/>
        </w:rPr>
      </w:pPr>
      <w:r w:rsidRPr="008E0485">
        <w:rPr>
          <w:rFonts w:ascii="Cambria" w:hAnsi="Cambria"/>
          <w:sz w:val="20"/>
          <w:szCs w:val="20"/>
        </w:rPr>
        <w:t>Failure to follow this policy may expose the organization to data breaches, compliance violations, or operational disruption. Violations may result in internal disciplinary action, vendor contract suspension, or termination.</w:t>
      </w:r>
    </w:p>
    <w:p w14:paraId="2C65272D" w14:textId="137E94A5" w:rsidR="008E0485" w:rsidRPr="008E0485" w:rsidRDefault="008E0485" w:rsidP="008E0485">
      <w:pPr>
        <w:spacing w:after="0"/>
        <w:rPr>
          <w:rFonts w:ascii="Cambria" w:hAnsi="Cambria"/>
          <w:sz w:val="20"/>
          <w:szCs w:val="20"/>
        </w:rPr>
      </w:pPr>
    </w:p>
    <w:p w14:paraId="3F9CB34D" w14:textId="77777777" w:rsidR="008E0485" w:rsidRPr="008E0485" w:rsidRDefault="008E0485" w:rsidP="008E0485">
      <w:pPr>
        <w:spacing w:after="120"/>
        <w:rPr>
          <w:rFonts w:ascii="Cambria" w:hAnsi="Cambria"/>
          <w:b/>
          <w:bCs/>
          <w:sz w:val="22"/>
          <w:szCs w:val="22"/>
        </w:rPr>
      </w:pPr>
      <w:r w:rsidRPr="008E0485">
        <w:rPr>
          <w:rFonts w:ascii="Cambria" w:hAnsi="Cambria"/>
          <w:b/>
          <w:bCs/>
          <w:sz w:val="22"/>
          <w:szCs w:val="22"/>
        </w:rPr>
        <w:t>6. Review and Maintenance</w:t>
      </w:r>
    </w:p>
    <w:p w14:paraId="79977586" w14:textId="77777777" w:rsidR="008E0485" w:rsidRPr="008E0485" w:rsidRDefault="008E0485" w:rsidP="008E0485">
      <w:pPr>
        <w:spacing w:after="0"/>
        <w:rPr>
          <w:rFonts w:ascii="Cambria" w:hAnsi="Cambria"/>
          <w:sz w:val="20"/>
          <w:szCs w:val="20"/>
        </w:rPr>
      </w:pPr>
      <w:r w:rsidRPr="008E0485">
        <w:rPr>
          <w:rFonts w:ascii="Cambria" w:hAnsi="Cambria"/>
          <w:sz w:val="20"/>
          <w:szCs w:val="20"/>
        </w:rPr>
        <w:t>The CISO and Procurement Lead shall review this policy annually or after significant changes in the vendor ecosystem, regulatory landscape, or business operations. All updates must be approved by executive leadership.</w:t>
      </w:r>
    </w:p>
    <w:p w14:paraId="42848CBE" w14:textId="6122EA2C" w:rsidR="008E0485" w:rsidRPr="008E0485" w:rsidRDefault="008E0485" w:rsidP="008E0485">
      <w:pPr>
        <w:spacing w:after="0"/>
        <w:rPr>
          <w:rFonts w:ascii="Cambria" w:hAnsi="Cambria"/>
          <w:sz w:val="20"/>
          <w:szCs w:val="20"/>
        </w:rPr>
      </w:pPr>
    </w:p>
    <w:p w14:paraId="721820A0" w14:textId="77777777" w:rsidR="008E0485" w:rsidRPr="008E0485" w:rsidRDefault="008E0485" w:rsidP="008E0485">
      <w:pPr>
        <w:spacing w:after="120"/>
        <w:rPr>
          <w:rFonts w:ascii="Cambria" w:hAnsi="Cambria"/>
          <w:b/>
          <w:bCs/>
          <w:sz w:val="22"/>
          <w:szCs w:val="22"/>
        </w:rPr>
      </w:pPr>
      <w:r w:rsidRPr="008E0485">
        <w:rPr>
          <w:rFonts w:ascii="Cambria" w:hAnsi="Cambria"/>
          <w:b/>
          <w:bCs/>
          <w:sz w:val="22"/>
          <w:szCs w:val="22"/>
        </w:rPr>
        <w:t>7. Acknowledgment and Agreement</w:t>
      </w:r>
    </w:p>
    <w:p w14:paraId="22A87E88" w14:textId="77777777" w:rsidR="008E0485" w:rsidRPr="008E0485" w:rsidRDefault="008E0485" w:rsidP="0043291D">
      <w:pPr>
        <w:spacing w:after="120"/>
        <w:rPr>
          <w:rFonts w:ascii="Cambria" w:hAnsi="Cambria"/>
          <w:sz w:val="20"/>
          <w:szCs w:val="20"/>
        </w:rPr>
      </w:pPr>
      <w:r w:rsidRPr="008E0485">
        <w:rPr>
          <w:rFonts w:ascii="Cambria" w:hAnsi="Cambria"/>
          <w:sz w:val="20"/>
          <w:szCs w:val="20"/>
        </w:rPr>
        <w:t>I acknowledge that I have read, understand, and agree to comply with [COMPANY NAME]’s Vendor Risk Management Policy. I commit to managing third-party risks in accordance with the procedures and responsibilities described.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gridCol w:w="3330"/>
        <w:gridCol w:w="1980"/>
      </w:tblGrid>
      <w:tr w:rsidR="0043291D" w:rsidRPr="006300A8" w14:paraId="538229F6" w14:textId="77777777" w:rsidTr="00A57892">
        <w:trPr>
          <w:tblCellSpacing w:w="15" w:type="dxa"/>
        </w:trPr>
        <w:tc>
          <w:tcPr>
            <w:tcW w:w="4005" w:type="dxa"/>
            <w:vAlign w:val="center"/>
            <w:hideMark/>
          </w:tcPr>
          <w:p w14:paraId="649849C9" w14:textId="77777777" w:rsidR="0043291D" w:rsidRPr="00B37B1D" w:rsidRDefault="0043291D" w:rsidP="00A57892">
            <w:pPr>
              <w:rPr>
                <w:rFonts w:ascii="Cambria" w:hAnsi="Cambria"/>
                <w:sz w:val="20"/>
                <w:szCs w:val="20"/>
              </w:rPr>
            </w:pPr>
            <w:r>
              <w:rPr>
                <w:rFonts w:ascii="Cambria" w:hAnsi="Cambria"/>
                <w:b/>
                <w:bCs/>
                <w:sz w:val="20"/>
                <w:szCs w:val="20"/>
              </w:rPr>
              <w:t>Name</w:t>
            </w:r>
            <w:r w:rsidRPr="00B37B1D">
              <w:rPr>
                <w:rFonts w:ascii="Cambria" w:hAnsi="Cambria"/>
                <w:b/>
                <w:bCs/>
                <w:sz w:val="20"/>
                <w:szCs w:val="20"/>
              </w:rPr>
              <w:t xml:space="preserve"> (Print): </w:t>
            </w:r>
            <w:r w:rsidRPr="00B37B1D">
              <w:rPr>
                <w:rFonts w:ascii="Cambria" w:hAnsi="Cambria"/>
                <w:sz w:val="20"/>
                <w:szCs w:val="20"/>
              </w:rPr>
              <w:t xml:space="preserve"> _____</w:t>
            </w:r>
            <w:r>
              <w:rPr>
                <w:rFonts w:ascii="Cambria" w:hAnsi="Cambria"/>
                <w:sz w:val="20"/>
                <w:szCs w:val="20"/>
              </w:rPr>
              <w:t>____________</w:t>
            </w:r>
            <w:r w:rsidRPr="00B37B1D">
              <w:rPr>
                <w:rFonts w:ascii="Cambria" w:hAnsi="Cambria"/>
                <w:sz w:val="20"/>
                <w:szCs w:val="20"/>
              </w:rPr>
              <w:t>____________</w:t>
            </w:r>
            <w:r>
              <w:rPr>
                <w:rFonts w:ascii="Cambria" w:hAnsi="Cambria"/>
                <w:sz w:val="20"/>
                <w:szCs w:val="20"/>
              </w:rPr>
              <w:t>__</w:t>
            </w:r>
          </w:p>
        </w:tc>
        <w:tc>
          <w:tcPr>
            <w:tcW w:w="3300" w:type="dxa"/>
            <w:vAlign w:val="center"/>
            <w:hideMark/>
          </w:tcPr>
          <w:p w14:paraId="4153917D" w14:textId="77777777" w:rsidR="0043291D" w:rsidRPr="00B37B1D" w:rsidRDefault="0043291D" w:rsidP="00A57892">
            <w:pPr>
              <w:rPr>
                <w:rFonts w:ascii="Cambria" w:hAnsi="Cambria"/>
                <w:sz w:val="20"/>
                <w:szCs w:val="20"/>
              </w:rPr>
            </w:pPr>
            <w:r w:rsidRPr="00B37B1D">
              <w:rPr>
                <w:rFonts w:ascii="Cambria" w:hAnsi="Cambria"/>
                <w:b/>
                <w:bCs/>
                <w:sz w:val="20"/>
                <w:szCs w:val="20"/>
              </w:rPr>
              <w:t>Signature:</w:t>
            </w:r>
            <w:r w:rsidRPr="00B37B1D">
              <w:rPr>
                <w:rFonts w:ascii="Cambria" w:hAnsi="Cambria"/>
                <w:sz w:val="20"/>
                <w:szCs w:val="20"/>
              </w:rPr>
              <w:t xml:space="preserve"> ______</w:t>
            </w:r>
            <w:r>
              <w:rPr>
                <w:rFonts w:ascii="Cambria" w:hAnsi="Cambria"/>
                <w:sz w:val="20"/>
                <w:szCs w:val="20"/>
              </w:rPr>
              <w:t>____</w:t>
            </w:r>
            <w:r w:rsidRPr="00B37B1D">
              <w:rPr>
                <w:rFonts w:ascii="Cambria" w:hAnsi="Cambria"/>
                <w:sz w:val="20"/>
                <w:szCs w:val="20"/>
              </w:rPr>
              <w:t>__</w:t>
            </w:r>
            <w:r>
              <w:rPr>
                <w:rFonts w:ascii="Cambria" w:hAnsi="Cambria"/>
                <w:sz w:val="20"/>
                <w:szCs w:val="20"/>
              </w:rPr>
              <w:t>_</w:t>
            </w:r>
            <w:r w:rsidRPr="00B37B1D">
              <w:rPr>
                <w:rFonts w:ascii="Cambria" w:hAnsi="Cambria"/>
                <w:sz w:val="20"/>
                <w:szCs w:val="20"/>
              </w:rPr>
              <w:t>________</w:t>
            </w:r>
            <w:r>
              <w:rPr>
                <w:rFonts w:ascii="Cambria" w:hAnsi="Cambria"/>
                <w:sz w:val="20"/>
                <w:szCs w:val="20"/>
              </w:rPr>
              <w:t>_</w:t>
            </w:r>
            <w:r w:rsidRPr="00B37B1D">
              <w:rPr>
                <w:rFonts w:ascii="Cambria" w:hAnsi="Cambria"/>
                <w:sz w:val="20"/>
                <w:szCs w:val="20"/>
              </w:rPr>
              <w:t>____</w:t>
            </w:r>
          </w:p>
        </w:tc>
        <w:tc>
          <w:tcPr>
            <w:tcW w:w="1935" w:type="dxa"/>
            <w:vAlign w:val="center"/>
            <w:hideMark/>
          </w:tcPr>
          <w:p w14:paraId="3E0150B6" w14:textId="77777777" w:rsidR="0043291D" w:rsidRPr="00B37B1D" w:rsidRDefault="0043291D" w:rsidP="00A57892">
            <w:pPr>
              <w:rPr>
                <w:rFonts w:ascii="Cambria" w:hAnsi="Cambria"/>
                <w:sz w:val="20"/>
                <w:szCs w:val="20"/>
              </w:rPr>
            </w:pPr>
            <w:r w:rsidRPr="00B37B1D">
              <w:rPr>
                <w:rFonts w:ascii="Cambria" w:hAnsi="Cambria"/>
                <w:b/>
                <w:bCs/>
                <w:sz w:val="20"/>
                <w:szCs w:val="20"/>
              </w:rPr>
              <w:t>Date:</w:t>
            </w:r>
            <w:r w:rsidRPr="00B37B1D">
              <w:rPr>
                <w:rFonts w:ascii="Cambria" w:hAnsi="Cambria"/>
                <w:sz w:val="20"/>
                <w:szCs w:val="20"/>
              </w:rPr>
              <w:t xml:space="preserve">  ________________</w:t>
            </w:r>
          </w:p>
        </w:tc>
      </w:tr>
    </w:tbl>
    <w:p w14:paraId="40FC6EBA" w14:textId="77777777" w:rsidR="001637F4" w:rsidRPr="008E0485" w:rsidRDefault="001637F4" w:rsidP="008E0485">
      <w:pPr>
        <w:spacing w:after="0"/>
        <w:rPr>
          <w:rFonts w:ascii="Cambria" w:hAnsi="Cambria"/>
          <w:sz w:val="20"/>
          <w:szCs w:val="20"/>
        </w:rPr>
      </w:pPr>
    </w:p>
    <w:sectPr w:rsidR="001637F4" w:rsidRPr="008E0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272DE"/>
    <w:multiLevelType w:val="multilevel"/>
    <w:tmpl w:val="DA48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81F91"/>
    <w:multiLevelType w:val="multilevel"/>
    <w:tmpl w:val="5036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54EA6"/>
    <w:multiLevelType w:val="multilevel"/>
    <w:tmpl w:val="E34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E4C8D"/>
    <w:multiLevelType w:val="multilevel"/>
    <w:tmpl w:val="E0FC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97D96"/>
    <w:multiLevelType w:val="multilevel"/>
    <w:tmpl w:val="77E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74625"/>
    <w:multiLevelType w:val="multilevel"/>
    <w:tmpl w:val="629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341825">
    <w:abstractNumId w:val="5"/>
  </w:num>
  <w:num w:numId="2" w16cid:durableId="417407792">
    <w:abstractNumId w:val="2"/>
  </w:num>
  <w:num w:numId="3" w16cid:durableId="1709328715">
    <w:abstractNumId w:val="1"/>
  </w:num>
  <w:num w:numId="4" w16cid:durableId="413161366">
    <w:abstractNumId w:val="0"/>
  </w:num>
  <w:num w:numId="5" w16cid:durableId="1759593201">
    <w:abstractNumId w:val="4"/>
  </w:num>
  <w:num w:numId="6" w16cid:durableId="1687437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F4"/>
    <w:rsid w:val="001637F4"/>
    <w:rsid w:val="001C5C01"/>
    <w:rsid w:val="0043291D"/>
    <w:rsid w:val="00463366"/>
    <w:rsid w:val="008E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9394ECD"/>
  <w15:chartTrackingRefBased/>
  <w15:docId w15:val="{05180ABE-94B1-48C7-B7C3-6E287AA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7F4"/>
    <w:rPr>
      <w:rFonts w:eastAsiaTheme="majorEastAsia" w:cstheme="majorBidi"/>
      <w:color w:val="272727" w:themeColor="text1" w:themeTint="D8"/>
    </w:rPr>
  </w:style>
  <w:style w:type="paragraph" w:styleId="Title">
    <w:name w:val="Title"/>
    <w:basedOn w:val="Normal"/>
    <w:next w:val="Normal"/>
    <w:link w:val="TitleChar"/>
    <w:uiPriority w:val="10"/>
    <w:qFormat/>
    <w:rsid w:val="00163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7F4"/>
    <w:pPr>
      <w:spacing w:before="160"/>
      <w:jc w:val="center"/>
    </w:pPr>
    <w:rPr>
      <w:i/>
      <w:iCs/>
      <w:color w:val="404040" w:themeColor="text1" w:themeTint="BF"/>
    </w:rPr>
  </w:style>
  <w:style w:type="character" w:customStyle="1" w:styleId="QuoteChar">
    <w:name w:val="Quote Char"/>
    <w:basedOn w:val="DefaultParagraphFont"/>
    <w:link w:val="Quote"/>
    <w:uiPriority w:val="29"/>
    <w:rsid w:val="001637F4"/>
    <w:rPr>
      <w:i/>
      <w:iCs/>
      <w:color w:val="404040" w:themeColor="text1" w:themeTint="BF"/>
    </w:rPr>
  </w:style>
  <w:style w:type="paragraph" w:styleId="ListParagraph">
    <w:name w:val="List Paragraph"/>
    <w:basedOn w:val="Normal"/>
    <w:uiPriority w:val="34"/>
    <w:qFormat/>
    <w:rsid w:val="001637F4"/>
    <w:pPr>
      <w:ind w:left="720"/>
      <w:contextualSpacing/>
    </w:pPr>
  </w:style>
  <w:style w:type="character" w:styleId="IntenseEmphasis">
    <w:name w:val="Intense Emphasis"/>
    <w:basedOn w:val="DefaultParagraphFont"/>
    <w:uiPriority w:val="21"/>
    <w:qFormat/>
    <w:rsid w:val="001637F4"/>
    <w:rPr>
      <w:i/>
      <w:iCs/>
      <w:color w:val="0F4761" w:themeColor="accent1" w:themeShade="BF"/>
    </w:rPr>
  </w:style>
  <w:style w:type="paragraph" w:styleId="IntenseQuote">
    <w:name w:val="Intense Quote"/>
    <w:basedOn w:val="Normal"/>
    <w:next w:val="Normal"/>
    <w:link w:val="IntenseQuoteChar"/>
    <w:uiPriority w:val="30"/>
    <w:qFormat/>
    <w:rsid w:val="00163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7F4"/>
    <w:rPr>
      <w:i/>
      <w:iCs/>
      <w:color w:val="0F4761" w:themeColor="accent1" w:themeShade="BF"/>
    </w:rPr>
  </w:style>
  <w:style w:type="character" w:styleId="IntenseReference">
    <w:name w:val="Intense Reference"/>
    <w:basedOn w:val="DefaultParagraphFont"/>
    <w:uiPriority w:val="32"/>
    <w:qFormat/>
    <w:rsid w:val="001637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615371">
      <w:bodyDiv w:val="1"/>
      <w:marLeft w:val="0"/>
      <w:marRight w:val="0"/>
      <w:marTop w:val="0"/>
      <w:marBottom w:val="0"/>
      <w:divBdr>
        <w:top w:val="none" w:sz="0" w:space="0" w:color="auto"/>
        <w:left w:val="none" w:sz="0" w:space="0" w:color="auto"/>
        <w:bottom w:val="none" w:sz="0" w:space="0" w:color="auto"/>
        <w:right w:val="none" w:sz="0" w:space="0" w:color="auto"/>
      </w:divBdr>
      <w:divsChild>
        <w:div w:id="835531396">
          <w:marLeft w:val="0"/>
          <w:marRight w:val="0"/>
          <w:marTop w:val="0"/>
          <w:marBottom w:val="0"/>
          <w:divBdr>
            <w:top w:val="none" w:sz="0" w:space="0" w:color="auto"/>
            <w:left w:val="none" w:sz="0" w:space="0" w:color="auto"/>
            <w:bottom w:val="none" w:sz="0" w:space="0" w:color="auto"/>
            <w:right w:val="none" w:sz="0" w:space="0" w:color="auto"/>
          </w:divBdr>
        </w:div>
        <w:div w:id="49812100">
          <w:marLeft w:val="0"/>
          <w:marRight w:val="0"/>
          <w:marTop w:val="0"/>
          <w:marBottom w:val="0"/>
          <w:divBdr>
            <w:top w:val="none" w:sz="0" w:space="0" w:color="auto"/>
            <w:left w:val="none" w:sz="0" w:space="0" w:color="auto"/>
            <w:bottom w:val="none" w:sz="0" w:space="0" w:color="auto"/>
            <w:right w:val="none" w:sz="0" w:space="0" w:color="auto"/>
          </w:divBdr>
        </w:div>
        <w:div w:id="1393305873">
          <w:marLeft w:val="0"/>
          <w:marRight w:val="0"/>
          <w:marTop w:val="0"/>
          <w:marBottom w:val="0"/>
          <w:divBdr>
            <w:top w:val="none" w:sz="0" w:space="0" w:color="auto"/>
            <w:left w:val="none" w:sz="0" w:space="0" w:color="auto"/>
            <w:bottom w:val="none" w:sz="0" w:space="0" w:color="auto"/>
            <w:right w:val="none" w:sz="0" w:space="0" w:color="auto"/>
          </w:divBdr>
        </w:div>
        <w:div w:id="200173656">
          <w:marLeft w:val="0"/>
          <w:marRight w:val="0"/>
          <w:marTop w:val="0"/>
          <w:marBottom w:val="0"/>
          <w:divBdr>
            <w:top w:val="none" w:sz="0" w:space="0" w:color="auto"/>
            <w:left w:val="none" w:sz="0" w:space="0" w:color="auto"/>
            <w:bottom w:val="none" w:sz="0" w:space="0" w:color="auto"/>
            <w:right w:val="none" w:sz="0" w:space="0" w:color="auto"/>
          </w:divBdr>
        </w:div>
        <w:div w:id="1129318267">
          <w:marLeft w:val="0"/>
          <w:marRight w:val="0"/>
          <w:marTop w:val="0"/>
          <w:marBottom w:val="0"/>
          <w:divBdr>
            <w:top w:val="none" w:sz="0" w:space="0" w:color="auto"/>
            <w:left w:val="none" w:sz="0" w:space="0" w:color="auto"/>
            <w:bottom w:val="none" w:sz="0" w:space="0" w:color="auto"/>
            <w:right w:val="none" w:sz="0" w:space="0" w:color="auto"/>
          </w:divBdr>
        </w:div>
        <w:div w:id="2079471601">
          <w:marLeft w:val="0"/>
          <w:marRight w:val="0"/>
          <w:marTop w:val="0"/>
          <w:marBottom w:val="0"/>
          <w:divBdr>
            <w:top w:val="none" w:sz="0" w:space="0" w:color="auto"/>
            <w:left w:val="none" w:sz="0" w:space="0" w:color="auto"/>
            <w:bottom w:val="none" w:sz="0" w:space="0" w:color="auto"/>
            <w:right w:val="none" w:sz="0" w:space="0" w:color="auto"/>
          </w:divBdr>
        </w:div>
        <w:div w:id="956177962">
          <w:marLeft w:val="0"/>
          <w:marRight w:val="0"/>
          <w:marTop w:val="0"/>
          <w:marBottom w:val="0"/>
          <w:divBdr>
            <w:top w:val="none" w:sz="0" w:space="0" w:color="auto"/>
            <w:left w:val="none" w:sz="0" w:space="0" w:color="auto"/>
            <w:bottom w:val="none" w:sz="0" w:space="0" w:color="auto"/>
            <w:right w:val="none" w:sz="0" w:space="0" w:color="auto"/>
          </w:divBdr>
        </w:div>
        <w:div w:id="1576817437">
          <w:marLeft w:val="0"/>
          <w:marRight w:val="0"/>
          <w:marTop w:val="0"/>
          <w:marBottom w:val="0"/>
          <w:divBdr>
            <w:top w:val="none" w:sz="0" w:space="0" w:color="auto"/>
            <w:left w:val="none" w:sz="0" w:space="0" w:color="auto"/>
            <w:bottom w:val="none" w:sz="0" w:space="0" w:color="auto"/>
            <w:right w:val="none" w:sz="0" w:space="0" w:color="auto"/>
          </w:divBdr>
        </w:div>
      </w:divsChild>
    </w:div>
    <w:div w:id="1620914229">
      <w:bodyDiv w:val="1"/>
      <w:marLeft w:val="0"/>
      <w:marRight w:val="0"/>
      <w:marTop w:val="0"/>
      <w:marBottom w:val="0"/>
      <w:divBdr>
        <w:top w:val="none" w:sz="0" w:space="0" w:color="auto"/>
        <w:left w:val="none" w:sz="0" w:space="0" w:color="auto"/>
        <w:bottom w:val="none" w:sz="0" w:space="0" w:color="auto"/>
        <w:right w:val="none" w:sz="0" w:space="0" w:color="auto"/>
      </w:divBdr>
      <w:divsChild>
        <w:div w:id="1677460206">
          <w:marLeft w:val="0"/>
          <w:marRight w:val="0"/>
          <w:marTop w:val="0"/>
          <w:marBottom w:val="0"/>
          <w:divBdr>
            <w:top w:val="none" w:sz="0" w:space="0" w:color="auto"/>
            <w:left w:val="none" w:sz="0" w:space="0" w:color="auto"/>
            <w:bottom w:val="none" w:sz="0" w:space="0" w:color="auto"/>
            <w:right w:val="none" w:sz="0" w:space="0" w:color="auto"/>
          </w:divBdr>
          <w:divsChild>
            <w:div w:id="18860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0699">
      <w:bodyDiv w:val="1"/>
      <w:marLeft w:val="0"/>
      <w:marRight w:val="0"/>
      <w:marTop w:val="0"/>
      <w:marBottom w:val="0"/>
      <w:divBdr>
        <w:top w:val="none" w:sz="0" w:space="0" w:color="auto"/>
        <w:left w:val="none" w:sz="0" w:space="0" w:color="auto"/>
        <w:bottom w:val="none" w:sz="0" w:space="0" w:color="auto"/>
        <w:right w:val="none" w:sz="0" w:space="0" w:color="auto"/>
      </w:divBdr>
      <w:divsChild>
        <w:div w:id="338240167">
          <w:marLeft w:val="0"/>
          <w:marRight w:val="0"/>
          <w:marTop w:val="0"/>
          <w:marBottom w:val="0"/>
          <w:divBdr>
            <w:top w:val="none" w:sz="0" w:space="0" w:color="auto"/>
            <w:left w:val="none" w:sz="0" w:space="0" w:color="auto"/>
            <w:bottom w:val="none" w:sz="0" w:space="0" w:color="auto"/>
            <w:right w:val="none" w:sz="0" w:space="0" w:color="auto"/>
          </w:divBdr>
        </w:div>
        <w:div w:id="2079816435">
          <w:marLeft w:val="0"/>
          <w:marRight w:val="0"/>
          <w:marTop w:val="0"/>
          <w:marBottom w:val="0"/>
          <w:divBdr>
            <w:top w:val="none" w:sz="0" w:space="0" w:color="auto"/>
            <w:left w:val="none" w:sz="0" w:space="0" w:color="auto"/>
            <w:bottom w:val="none" w:sz="0" w:space="0" w:color="auto"/>
            <w:right w:val="none" w:sz="0" w:space="0" w:color="auto"/>
          </w:divBdr>
        </w:div>
        <w:div w:id="1846703288">
          <w:marLeft w:val="0"/>
          <w:marRight w:val="0"/>
          <w:marTop w:val="0"/>
          <w:marBottom w:val="0"/>
          <w:divBdr>
            <w:top w:val="none" w:sz="0" w:space="0" w:color="auto"/>
            <w:left w:val="none" w:sz="0" w:space="0" w:color="auto"/>
            <w:bottom w:val="none" w:sz="0" w:space="0" w:color="auto"/>
            <w:right w:val="none" w:sz="0" w:space="0" w:color="auto"/>
          </w:divBdr>
        </w:div>
        <w:div w:id="1475608610">
          <w:marLeft w:val="0"/>
          <w:marRight w:val="0"/>
          <w:marTop w:val="0"/>
          <w:marBottom w:val="0"/>
          <w:divBdr>
            <w:top w:val="none" w:sz="0" w:space="0" w:color="auto"/>
            <w:left w:val="none" w:sz="0" w:space="0" w:color="auto"/>
            <w:bottom w:val="none" w:sz="0" w:space="0" w:color="auto"/>
            <w:right w:val="none" w:sz="0" w:space="0" w:color="auto"/>
          </w:divBdr>
        </w:div>
        <w:div w:id="1130592894">
          <w:marLeft w:val="0"/>
          <w:marRight w:val="0"/>
          <w:marTop w:val="0"/>
          <w:marBottom w:val="0"/>
          <w:divBdr>
            <w:top w:val="none" w:sz="0" w:space="0" w:color="auto"/>
            <w:left w:val="none" w:sz="0" w:space="0" w:color="auto"/>
            <w:bottom w:val="none" w:sz="0" w:space="0" w:color="auto"/>
            <w:right w:val="none" w:sz="0" w:space="0" w:color="auto"/>
          </w:divBdr>
        </w:div>
        <w:div w:id="1402094394">
          <w:marLeft w:val="0"/>
          <w:marRight w:val="0"/>
          <w:marTop w:val="0"/>
          <w:marBottom w:val="0"/>
          <w:divBdr>
            <w:top w:val="none" w:sz="0" w:space="0" w:color="auto"/>
            <w:left w:val="none" w:sz="0" w:space="0" w:color="auto"/>
            <w:bottom w:val="none" w:sz="0" w:space="0" w:color="auto"/>
            <w:right w:val="none" w:sz="0" w:space="0" w:color="auto"/>
          </w:divBdr>
        </w:div>
        <w:div w:id="883753310">
          <w:marLeft w:val="0"/>
          <w:marRight w:val="0"/>
          <w:marTop w:val="0"/>
          <w:marBottom w:val="0"/>
          <w:divBdr>
            <w:top w:val="none" w:sz="0" w:space="0" w:color="auto"/>
            <w:left w:val="none" w:sz="0" w:space="0" w:color="auto"/>
            <w:bottom w:val="none" w:sz="0" w:space="0" w:color="auto"/>
            <w:right w:val="none" w:sz="0" w:space="0" w:color="auto"/>
          </w:divBdr>
        </w:div>
        <w:div w:id="637419427">
          <w:marLeft w:val="0"/>
          <w:marRight w:val="0"/>
          <w:marTop w:val="0"/>
          <w:marBottom w:val="0"/>
          <w:divBdr>
            <w:top w:val="none" w:sz="0" w:space="0" w:color="auto"/>
            <w:left w:val="none" w:sz="0" w:space="0" w:color="auto"/>
            <w:bottom w:val="none" w:sz="0" w:space="0" w:color="auto"/>
            <w:right w:val="none" w:sz="0" w:space="0" w:color="auto"/>
          </w:divBdr>
        </w:div>
      </w:divsChild>
    </w:div>
    <w:div w:id="1850755949">
      <w:bodyDiv w:val="1"/>
      <w:marLeft w:val="0"/>
      <w:marRight w:val="0"/>
      <w:marTop w:val="0"/>
      <w:marBottom w:val="0"/>
      <w:divBdr>
        <w:top w:val="none" w:sz="0" w:space="0" w:color="auto"/>
        <w:left w:val="none" w:sz="0" w:space="0" w:color="auto"/>
        <w:bottom w:val="none" w:sz="0" w:space="0" w:color="auto"/>
        <w:right w:val="none" w:sz="0" w:space="0" w:color="auto"/>
      </w:divBdr>
      <w:divsChild>
        <w:div w:id="593980116">
          <w:marLeft w:val="0"/>
          <w:marRight w:val="0"/>
          <w:marTop w:val="0"/>
          <w:marBottom w:val="0"/>
          <w:divBdr>
            <w:top w:val="none" w:sz="0" w:space="0" w:color="auto"/>
            <w:left w:val="none" w:sz="0" w:space="0" w:color="auto"/>
            <w:bottom w:val="none" w:sz="0" w:space="0" w:color="auto"/>
            <w:right w:val="none" w:sz="0" w:space="0" w:color="auto"/>
          </w:divBdr>
          <w:divsChild>
            <w:div w:id="17976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Zanoni</dc:creator>
  <cp:keywords/>
  <dc:description/>
  <cp:lastModifiedBy>Kaitlin Zanoni</cp:lastModifiedBy>
  <cp:revision>3</cp:revision>
  <dcterms:created xsi:type="dcterms:W3CDTF">2025-05-03T14:48:00Z</dcterms:created>
  <dcterms:modified xsi:type="dcterms:W3CDTF">2025-05-06T16:51:00Z</dcterms:modified>
</cp:coreProperties>
</file>