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592E3" w14:textId="77777777" w:rsidR="00463F72" w:rsidRPr="00463F72" w:rsidRDefault="00463F72" w:rsidP="00463F72">
      <w:pPr>
        <w:jc w:val="center"/>
        <w:rPr>
          <w:rFonts w:ascii="Cambria" w:hAnsi="Cambria"/>
          <w:b/>
          <w:bCs/>
        </w:rPr>
      </w:pPr>
      <w:r w:rsidRPr="00463F72">
        <w:rPr>
          <w:rFonts w:ascii="Cambria" w:hAnsi="Cambria"/>
          <w:b/>
          <w:bCs/>
        </w:rPr>
        <w:t>Acceptable Use Policy (AUP)</w:t>
      </w:r>
    </w:p>
    <w:p w14:paraId="18D10800" w14:textId="77777777" w:rsidR="00463F72" w:rsidRPr="00463F72" w:rsidRDefault="00463F72" w:rsidP="00463F72">
      <w:pPr>
        <w:rPr>
          <w:rFonts w:ascii="Cambria" w:hAnsi="Cambria"/>
          <w:sz w:val="22"/>
          <w:szCs w:val="22"/>
        </w:rPr>
      </w:pPr>
      <w:r w:rsidRPr="00463F72">
        <w:rPr>
          <w:rFonts w:ascii="Cambria" w:hAnsi="Cambria"/>
          <w:b/>
          <w:bCs/>
          <w:sz w:val="22"/>
          <w:szCs w:val="22"/>
        </w:rPr>
        <w:t>Policy ID:</w:t>
      </w:r>
      <w:r w:rsidRPr="00463F72">
        <w:rPr>
          <w:rFonts w:ascii="Cambria" w:hAnsi="Cambria"/>
          <w:sz w:val="22"/>
          <w:szCs w:val="22"/>
        </w:rPr>
        <w:t xml:space="preserve"> SEC-AUP-001</w:t>
      </w:r>
      <w:r w:rsidRPr="00463F72">
        <w:rPr>
          <w:rFonts w:ascii="Cambria" w:hAnsi="Cambria"/>
          <w:sz w:val="22"/>
          <w:szCs w:val="22"/>
        </w:rPr>
        <w:br/>
      </w:r>
      <w:r w:rsidRPr="00463F72">
        <w:rPr>
          <w:rFonts w:ascii="Cambria" w:hAnsi="Cambria"/>
          <w:b/>
          <w:bCs/>
          <w:sz w:val="22"/>
          <w:szCs w:val="22"/>
        </w:rPr>
        <w:t>Version:</w:t>
      </w:r>
      <w:r w:rsidRPr="00463F72">
        <w:rPr>
          <w:rFonts w:ascii="Cambria" w:hAnsi="Cambria"/>
          <w:sz w:val="22"/>
          <w:szCs w:val="22"/>
        </w:rPr>
        <w:t xml:space="preserve"> 1.0</w:t>
      </w:r>
      <w:r w:rsidRPr="00463F72">
        <w:rPr>
          <w:rFonts w:ascii="Cambria" w:hAnsi="Cambria"/>
          <w:sz w:val="22"/>
          <w:szCs w:val="22"/>
        </w:rPr>
        <w:br/>
      </w:r>
      <w:r w:rsidRPr="00463F72">
        <w:rPr>
          <w:rFonts w:ascii="Cambria" w:hAnsi="Cambria"/>
          <w:b/>
          <w:bCs/>
          <w:sz w:val="22"/>
          <w:szCs w:val="22"/>
        </w:rPr>
        <w:t>Approval Date:</w:t>
      </w:r>
      <w:r w:rsidRPr="00463F72">
        <w:rPr>
          <w:rFonts w:ascii="Cambria" w:hAnsi="Cambria"/>
          <w:sz w:val="22"/>
          <w:szCs w:val="22"/>
        </w:rPr>
        <w:t xml:space="preserve"> [Insert Date]</w:t>
      </w:r>
      <w:r w:rsidRPr="00463F72">
        <w:rPr>
          <w:rFonts w:ascii="Cambria" w:hAnsi="Cambria"/>
          <w:sz w:val="22"/>
          <w:szCs w:val="22"/>
        </w:rPr>
        <w:br/>
      </w:r>
      <w:r w:rsidRPr="00463F72">
        <w:rPr>
          <w:rFonts w:ascii="Cambria" w:hAnsi="Cambria"/>
          <w:b/>
          <w:bCs/>
          <w:sz w:val="22"/>
          <w:szCs w:val="22"/>
        </w:rPr>
        <w:t>Next Review Date:</w:t>
      </w:r>
      <w:r w:rsidRPr="00463F72">
        <w:rPr>
          <w:rFonts w:ascii="Cambria" w:hAnsi="Cambria"/>
          <w:sz w:val="22"/>
          <w:szCs w:val="22"/>
        </w:rPr>
        <w:t xml:space="preserve"> [Insert Date + 12 months]</w:t>
      </w:r>
      <w:r w:rsidRPr="00463F72">
        <w:rPr>
          <w:rFonts w:ascii="Cambria" w:hAnsi="Cambria"/>
          <w:sz w:val="22"/>
          <w:szCs w:val="22"/>
        </w:rPr>
        <w:br/>
      </w:r>
      <w:r w:rsidRPr="00463F72">
        <w:rPr>
          <w:rFonts w:ascii="Cambria" w:hAnsi="Cambria"/>
          <w:b/>
          <w:bCs/>
          <w:sz w:val="22"/>
          <w:szCs w:val="22"/>
        </w:rPr>
        <w:t>Owner:</w:t>
      </w:r>
      <w:r w:rsidRPr="00463F72">
        <w:rPr>
          <w:rFonts w:ascii="Cambria" w:hAnsi="Cambria"/>
          <w:sz w:val="22"/>
          <w:szCs w:val="22"/>
        </w:rPr>
        <w:t xml:space="preserve"> Chief Information Security Officer (CISO)</w:t>
      </w:r>
      <w:r w:rsidRPr="00463F72">
        <w:rPr>
          <w:rFonts w:ascii="Cambria" w:hAnsi="Cambria"/>
          <w:sz w:val="22"/>
          <w:szCs w:val="22"/>
        </w:rPr>
        <w:br/>
      </w:r>
      <w:r w:rsidRPr="00463F72">
        <w:rPr>
          <w:rFonts w:ascii="Cambria" w:hAnsi="Cambria"/>
          <w:b/>
          <w:bCs/>
          <w:sz w:val="22"/>
          <w:szCs w:val="22"/>
        </w:rPr>
        <w:t>Applies To:</w:t>
      </w:r>
      <w:r w:rsidRPr="00463F72">
        <w:rPr>
          <w:rFonts w:ascii="Cambria" w:hAnsi="Cambria"/>
          <w:sz w:val="22"/>
          <w:szCs w:val="22"/>
        </w:rPr>
        <w:t xml:space="preserve"> All employees, contractors, vendors, and authorized third-party users</w:t>
      </w:r>
    </w:p>
    <w:p w14:paraId="262CB34E" w14:textId="77777777" w:rsidR="00463F72" w:rsidRPr="00463F72" w:rsidRDefault="00463F72" w:rsidP="00463F72">
      <w:pPr>
        <w:rPr>
          <w:rFonts w:ascii="Cambria" w:hAnsi="Cambria"/>
          <w:sz w:val="22"/>
          <w:szCs w:val="22"/>
        </w:rPr>
      </w:pPr>
      <w:r w:rsidRPr="00463F72">
        <w:rPr>
          <w:rFonts w:ascii="Cambria" w:hAnsi="Cambria"/>
          <w:sz w:val="22"/>
          <w:szCs w:val="22"/>
        </w:rPr>
        <w:pict w14:anchorId="3D5DDE7D">
          <v:rect id="_x0000_i1249" style="width:0;height:1.5pt" o:hralign="center" o:hrstd="t" o:hr="t" fillcolor="#a0a0a0" stroked="f"/>
        </w:pict>
      </w:r>
    </w:p>
    <w:p w14:paraId="1BE77FDE" w14:textId="77777777" w:rsidR="00463F72" w:rsidRPr="00463F72" w:rsidRDefault="00463F72" w:rsidP="00463F72">
      <w:pPr>
        <w:rPr>
          <w:rFonts w:ascii="Cambria" w:hAnsi="Cambria"/>
          <w:b/>
          <w:bCs/>
          <w:sz w:val="22"/>
          <w:szCs w:val="22"/>
        </w:rPr>
      </w:pPr>
      <w:r w:rsidRPr="00463F72">
        <w:rPr>
          <w:rFonts w:ascii="Cambria" w:hAnsi="Cambria"/>
          <w:b/>
          <w:bCs/>
          <w:sz w:val="22"/>
          <w:szCs w:val="22"/>
        </w:rPr>
        <w:t>1. Purpose</w:t>
      </w:r>
    </w:p>
    <w:p w14:paraId="1B213AE5" w14:textId="77777777" w:rsidR="00463F72" w:rsidRPr="00463F72" w:rsidRDefault="00463F72" w:rsidP="00463F72">
      <w:pPr>
        <w:rPr>
          <w:rFonts w:ascii="Cambria" w:hAnsi="Cambria"/>
          <w:sz w:val="22"/>
          <w:szCs w:val="22"/>
        </w:rPr>
      </w:pPr>
      <w:r w:rsidRPr="00463F72">
        <w:rPr>
          <w:rFonts w:ascii="Cambria" w:hAnsi="Cambria"/>
          <w:sz w:val="22"/>
          <w:szCs w:val="22"/>
        </w:rPr>
        <w:t>This policy outlines the acceptable use of organizational information systems, networks, applications, data, and computing resources. It is designed to protect employees and the company from exposure to security risks, legal liabilities, and operational disruptions resulting from improper use of technology.</w:t>
      </w:r>
    </w:p>
    <w:p w14:paraId="64DD3576" w14:textId="77777777" w:rsidR="00463F72" w:rsidRPr="00463F72" w:rsidRDefault="00463F72" w:rsidP="00463F72">
      <w:pPr>
        <w:rPr>
          <w:rFonts w:ascii="Cambria" w:hAnsi="Cambria"/>
          <w:sz w:val="22"/>
          <w:szCs w:val="22"/>
        </w:rPr>
      </w:pPr>
      <w:r w:rsidRPr="00463F72">
        <w:rPr>
          <w:rFonts w:ascii="Cambria" w:hAnsi="Cambria"/>
          <w:sz w:val="22"/>
          <w:szCs w:val="22"/>
        </w:rPr>
        <w:pict w14:anchorId="552D44C4">
          <v:rect id="_x0000_i1250" style="width:0;height:1.5pt" o:hralign="center" o:hrstd="t" o:hr="t" fillcolor="#a0a0a0" stroked="f"/>
        </w:pict>
      </w:r>
    </w:p>
    <w:p w14:paraId="1558DAA5" w14:textId="77777777" w:rsidR="00463F72" w:rsidRPr="00463F72" w:rsidRDefault="00463F72" w:rsidP="00463F72">
      <w:pPr>
        <w:rPr>
          <w:rFonts w:ascii="Cambria" w:hAnsi="Cambria"/>
          <w:b/>
          <w:bCs/>
          <w:sz w:val="22"/>
          <w:szCs w:val="22"/>
        </w:rPr>
      </w:pPr>
      <w:r w:rsidRPr="00463F72">
        <w:rPr>
          <w:rFonts w:ascii="Cambria" w:hAnsi="Cambria"/>
          <w:b/>
          <w:bCs/>
          <w:sz w:val="22"/>
          <w:szCs w:val="22"/>
        </w:rPr>
        <w:t>2. Scope</w:t>
      </w:r>
    </w:p>
    <w:p w14:paraId="0CC89934" w14:textId="77777777" w:rsidR="00463F72" w:rsidRPr="00463F72" w:rsidRDefault="00463F72" w:rsidP="00463F72">
      <w:pPr>
        <w:rPr>
          <w:rFonts w:ascii="Cambria" w:hAnsi="Cambria"/>
          <w:sz w:val="22"/>
          <w:szCs w:val="22"/>
        </w:rPr>
      </w:pPr>
      <w:r w:rsidRPr="00463F72">
        <w:rPr>
          <w:rFonts w:ascii="Cambria" w:hAnsi="Cambria"/>
          <w:sz w:val="22"/>
          <w:szCs w:val="22"/>
        </w:rPr>
        <w:t>This policy applies to all individuals and entities who access, use, or manage any information system or data asset owned or operated by the company. This includes:</w:t>
      </w:r>
    </w:p>
    <w:p w14:paraId="06AA0848" w14:textId="77777777" w:rsidR="00463F72" w:rsidRPr="00463F72" w:rsidRDefault="00463F72" w:rsidP="00463F72">
      <w:pPr>
        <w:numPr>
          <w:ilvl w:val="0"/>
          <w:numId w:val="1"/>
        </w:numPr>
        <w:rPr>
          <w:rFonts w:ascii="Cambria" w:hAnsi="Cambria"/>
          <w:sz w:val="22"/>
          <w:szCs w:val="22"/>
        </w:rPr>
      </w:pPr>
      <w:r w:rsidRPr="00463F72">
        <w:rPr>
          <w:rFonts w:ascii="Cambria" w:hAnsi="Cambria"/>
          <w:sz w:val="22"/>
          <w:szCs w:val="22"/>
        </w:rPr>
        <w:t>Company-issued devices (e.g., laptops, phones)</w:t>
      </w:r>
    </w:p>
    <w:p w14:paraId="440C61F6" w14:textId="77777777" w:rsidR="00463F72" w:rsidRPr="00463F72" w:rsidRDefault="00463F72" w:rsidP="00463F72">
      <w:pPr>
        <w:numPr>
          <w:ilvl w:val="0"/>
          <w:numId w:val="1"/>
        </w:numPr>
        <w:rPr>
          <w:rFonts w:ascii="Cambria" w:hAnsi="Cambria"/>
          <w:sz w:val="22"/>
          <w:szCs w:val="22"/>
        </w:rPr>
      </w:pPr>
      <w:r w:rsidRPr="00463F72">
        <w:rPr>
          <w:rFonts w:ascii="Cambria" w:hAnsi="Cambria"/>
          <w:sz w:val="22"/>
          <w:szCs w:val="22"/>
        </w:rPr>
        <w:t>Company-managed cloud services (e.g., email, SaaS tools)</w:t>
      </w:r>
    </w:p>
    <w:p w14:paraId="2A16EFDD" w14:textId="77777777" w:rsidR="00463F72" w:rsidRPr="00463F72" w:rsidRDefault="00463F72" w:rsidP="00463F72">
      <w:pPr>
        <w:numPr>
          <w:ilvl w:val="0"/>
          <w:numId w:val="1"/>
        </w:numPr>
        <w:rPr>
          <w:rFonts w:ascii="Cambria" w:hAnsi="Cambria"/>
          <w:sz w:val="22"/>
          <w:szCs w:val="22"/>
        </w:rPr>
      </w:pPr>
      <w:r w:rsidRPr="00463F72">
        <w:rPr>
          <w:rFonts w:ascii="Cambria" w:hAnsi="Cambria"/>
          <w:sz w:val="22"/>
          <w:szCs w:val="22"/>
        </w:rPr>
        <w:t>Internal networks and wireless connections</w:t>
      </w:r>
    </w:p>
    <w:p w14:paraId="4CFCAE6D" w14:textId="77777777" w:rsidR="00463F72" w:rsidRPr="00463F72" w:rsidRDefault="00463F72" w:rsidP="00463F72">
      <w:pPr>
        <w:numPr>
          <w:ilvl w:val="0"/>
          <w:numId w:val="1"/>
        </w:numPr>
        <w:rPr>
          <w:rFonts w:ascii="Cambria" w:hAnsi="Cambria"/>
          <w:sz w:val="22"/>
          <w:szCs w:val="22"/>
        </w:rPr>
      </w:pPr>
      <w:r w:rsidRPr="00463F72">
        <w:rPr>
          <w:rFonts w:ascii="Cambria" w:hAnsi="Cambria"/>
          <w:sz w:val="22"/>
          <w:szCs w:val="22"/>
        </w:rPr>
        <w:t>Remote access environments</w:t>
      </w:r>
    </w:p>
    <w:p w14:paraId="14BC6DD5" w14:textId="77777777" w:rsidR="00463F72" w:rsidRPr="00463F72" w:rsidRDefault="00463F72" w:rsidP="00463F72">
      <w:pPr>
        <w:rPr>
          <w:rFonts w:ascii="Cambria" w:hAnsi="Cambria"/>
          <w:sz w:val="22"/>
          <w:szCs w:val="22"/>
        </w:rPr>
      </w:pPr>
      <w:r w:rsidRPr="00463F72">
        <w:rPr>
          <w:rFonts w:ascii="Cambria" w:hAnsi="Cambria"/>
          <w:sz w:val="22"/>
          <w:szCs w:val="22"/>
        </w:rPr>
        <w:pict w14:anchorId="44B3E77F">
          <v:rect id="_x0000_i1251" style="width:0;height:1.5pt" o:hralign="center" o:hrstd="t" o:hr="t" fillcolor="#a0a0a0" stroked="f"/>
        </w:pict>
      </w:r>
    </w:p>
    <w:p w14:paraId="1BCE3CE1" w14:textId="77777777" w:rsidR="00463F72" w:rsidRPr="00463F72" w:rsidRDefault="00463F72" w:rsidP="00463F72">
      <w:pPr>
        <w:rPr>
          <w:rFonts w:ascii="Cambria" w:hAnsi="Cambria"/>
          <w:b/>
          <w:bCs/>
          <w:sz w:val="22"/>
          <w:szCs w:val="22"/>
        </w:rPr>
      </w:pPr>
      <w:r w:rsidRPr="00463F72">
        <w:rPr>
          <w:rFonts w:ascii="Cambria" w:hAnsi="Cambria"/>
          <w:b/>
          <w:bCs/>
          <w:sz w:val="22"/>
          <w:szCs w:val="22"/>
        </w:rPr>
        <w:t>3. Policy Statements</w:t>
      </w:r>
    </w:p>
    <w:p w14:paraId="52023591" w14:textId="77777777" w:rsidR="00463F72" w:rsidRPr="00463F72" w:rsidRDefault="00463F72" w:rsidP="00463F72">
      <w:pPr>
        <w:rPr>
          <w:rFonts w:ascii="Cambria" w:hAnsi="Cambria"/>
          <w:b/>
          <w:bCs/>
          <w:sz w:val="22"/>
          <w:szCs w:val="22"/>
        </w:rPr>
      </w:pPr>
      <w:r w:rsidRPr="00463F72">
        <w:rPr>
          <w:rFonts w:ascii="Cambria" w:hAnsi="Cambria"/>
          <w:b/>
          <w:bCs/>
          <w:sz w:val="22"/>
          <w:szCs w:val="22"/>
        </w:rPr>
        <w:t>3.1 Authorized Use</w:t>
      </w:r>
    </w:p>
    <w:p w14:paraId="39CDCD80" w14:textId="77777777" w:rsidR="00463F72" w:rsidRPr="00463F72" w:rsidRDefault="00463F72" w:rsidP="00463F72">
      <w:pPr>
        <w:numPr>
          <w:ilvl w:val="0"/>
          <w:numId w:val="2"/>
        </w:numPr>
        <w:rPr>
          <w:rFonts w:ascii="Cambria" w:hAnsi="Cambria"/>
          <w:sz w:val="22"/>
          <w:szCs w:val="22"/>
        </w:rPr>
      </w:pPr>
      <w:r w:rsidRPr="00463F72">
        <w:rPr>
          <w:rFonts w:ascii="Cambria" w:hAnsi="Cambria"/>
          <w:sz w:val="22"/>
          <w:szCs w:val="22"/>
        </w:rPr>
        <w:t>Information systems must be used solely for legitimate business purposes.</w:t>
      </w:r>
    </w:p>
    <w:p w14:paraId="27516877" w14:textId="77777777" w:rsidR="00463F72" w:rsidRPr="00463F72" w:rsidRDefault="00463F72" w:rsidP="00463F72">
      <w:pPr>
        <w:numPr>
          <w:ilvl w:val="0"/>
          <w:numId w:val="2"/>
        </w:numPr>
        <w:rPr>
          <w:rFonts w:ascii="Cambria" w:hAnsi="Cambria"/>
          <w:sz w:val="22"/>
          <w:szCs w:val="22"/>
        </w:rPr>
      </w:pPr>
      <w:r w:rsidRPr="00463F72">
        <w:rPr>
          <w:rFonts w:ascii="Cambria" w:hAnsi="Cambria"/>
          <w:sz w:val="22"/>
          <w:szCs w:val="22"/>
        </w:rPr>
        <w:t>Personal use must be incidental, infrequent, and not conflict with business operations or policies.</w:t>
      </w:r>
    </w:p>
    <w:p w14:paraId="79216336" w14:textId="77777777" w:rsidR="00463F72" w:rsidRPr="00463F72" w:rsidRDefault="00463F72" w:rsidP="00463F72">
      <w:pPr>
        <w:numPr>
          <w:ilvl w:val="0"/>
          <w:numId w:val="2"/>
        </w:numPr>
        <w:rPr>
          <w:rFonts w:ascii="Cambria" w:hAnsi="Cambria"/>
          <w:sz w:val="22"/>
          <w:szCs w:val="22"/>
        </w:rPr>
      </w:pPr>
      <w:r w:rsidRPr="00463F72">
        <w:rPr>
          <w:rFonts w:ascii="Cambria" w:hAnsi="Cambria"/>
          <w:sz w:val="22"/>
          <w:szCs w:val="22"/>
        </w:rPr>
        <w:t>All access and activity must be conducted through company-managed tools and approved channels.</w:t>
      </w:r>
    </w:p>
    <w:p w14:paraId="10E8017C" w14:textId="77777777" w:rsidR="00463F72" w:rsidRPr="00463F72" w:rsidRDefault="00463F72" w:rsidP="00463F72">
      <w:pPr>
        <w:rPr>
          <w:rFonts w:ascii="Cambria" w:hAnsi="Cambria"/>
          <w:b/>
          <w:bCs/>
          <w:sz w:val="22"/>
          <w:szCs w:val="22"/>
        </w:rPr>
      </w:pPr>
      <w:r w:rsidRPr="00463F72">
        <w:rPr>
          <w:rFonts w:ascii="Cambria" w:hAnsi="Cambria"/>
          <w:b/>
          <w:bCs/>
          <w:sz w:val="22"/>
          <w:szCs w:val="22"/>
        </w:rPr>
        <w:t>3.2 Prohibited Activities</w:t>
      </w:r>
    </w:p>
    <w:p w14:paraId="2F8DB70F" w14:textId="77777777" w:rsidR="00463F72" w:rsidRPr="00463F72" w:rsidRDefault="00463F72" w:rsidP="00463F72">
      <w:pPr>
        <w:numPr>
          <w:ilvl w:val="0"/>
          <w:numId w:val="3"/>
        </w:numPr>
        <w:rPr>
          <w:rFonts w:ascii="Cambria" w:hAnsi="Cambria"/>
          <w:sz w:val="22"/>
          <w:szCs w:val="22"/>
        </w:rPr>
      </w:pPr>
      <w:r w:rsidRPr="00463F72">
        <w:rPr>
          <w:rFonts w:ascii="Cambria" w:hAnsi="Cambria"/>
          <w:sz w:val="22"/>
          <w:szCs w:val="22"/>
        </w:rPr>
        <w:t>Users may not engage in unauthorized access, port scanning, penetration testing, or attempts to bypass system controls.</w:t>
      </w:r>
    </w:p>
    <w:p w14:paraId="6AB47916" w14:textId="77777777" w:rsidR="00463F72" w:rsidRPr="00463F72" w:rsidRDefault="00463F72" w:rsidP="00463F72">
      <w:pPr>
        <w:numPr>
          <w:ilvl w:val="0"/>
          <w:numId w:val="3"/>
        </w:numPr>
        <w:rPr>
          <w:rFonts w:ascii="Cambria" w:hAnsi="Cambria"/>
          <w:sz w:val="22"/>
          <w:szCs w:val="22"/>
        </w:rPr>
      </w:pPr>
      <w:r w:rsidRPr="00463F72">
        <w:rPr>
          <w:rFonts w:ascii="Cambria" w:hAnsi="Cambria"/>
          <w:sz w:val="22"/>
          <w:szCs w:val="22"/>
        </w:rPr>
        <w:lastRenderedPageBreak/>
        <w:t>Users must not access, create, or distribute materials that are discriminatory, harassing, illegal, or offensive.</w:t>
      </w:r>
    </w:p>
    <w:p w14:paraId="28963B80" w14:textId="77777777" w:rsidR="00463F72" w:rsidRPr="00463F72" w:rsidRDefault="00463F72" w:rsidP="00463F72">
      <w:pPr>
        <w:numPr>
          <w:ilvl w:val="0"/>
          <w:numId w:val="3"/>
        </w:numPr>
        <w:rPr>
          <w:rFonts w:ascii="Cambria" w:hAnsi="Cambria"/>
          <w:sz w:val="22"/>
          <w:szCs w:val="22"/>
        </w:rPr>
      </w:pPr>
      <w:r w:rsidRPr="00463F72">
        <w:rPr>
          <w:rFonts w:ascii="Cambria" w:hAnsi="Cambria"/>
          <w:sz w:val="22"/>
          <w:szCs w:val="22"/>
        </w:rPr>
        <w:t>Users may not use company assets for personal commercial gain, political campaigns, or non-approved charitable causes.</w:t>
      </w:r>
    </w:p>
    <w:p w14:paraId="267576AB" w14:textId="77777777" w:rsidR="00463F72" w:rsidRPr="00463F72" w:rsidRDefault="00463F72" w:rsidP="00463F72">
      <w:pPr>
        <w:rPr>
          <w:rFonts w:ascii="Cambria" w:hAnsi="Cambria"/>
          <w:b/>
          <w:bCs/>
          <w:sz w:val="22"/>
          <w:szCs w:val="22"/>
        </w:rPr>
      </w:pPr>
      <w:r w:rsidRPr="00463F72">
        <w:rPr>
          <w:rFonts w:ascii="Cambria" w:hAnsi="Cambria"/>
          <w:b/>
          <w:bCs/>
          <w:sz w:val="22"/>
          <w:szCs w:val="22"/>
        </w:rPr>
        <w:t>3.3 Data Handling</w:t>
      </w:r>
    </w:p>
    <w:p w14:paraId="03563772" w14:textId="77777777" w:rsidR="00463F72" w:rsidRPr="00463F72" w:rsidRDefault="00463F72" w:rsidP="00463F72">
      <w:pPr>
        <w:numPr>
          <w:ilvl w:val="0"/>
          <w:numId w:val="4"/>
        </w:numPr>
        <w:rPr>
          <w:rFonts w:ascii="Cambria" w:hAnsi="Cambria"/>
          <w:sz w:val="22"/>
          <w:szCs w:val="22"/>
        </w:rPr>
      </w:pPr>
      <w:r w:rsidRPr="00463F72">
        <w:rPr>
          <w:rFonts w:ascii="Cambria" w:hAnsi="Cambria"/>
          <w:sz w:val="22"/>
          <w:szCs w:val="22"/>
        </w:rPr>
        <w:t>Confidential and sensitive data must be accessed only when required and must not be stored on unauthorized devices or platforms.</w:t>
      </w:r>
    </w:p>
    <w:p w14:paraId="1D99C22B" w14:textId="77777777" w:rsidR="00463F72" w:rsidRPr="00463F72" w:rsidRDefault="00463F72" w:rsidP="00463F72">
      <w:pPr>
        <w:numPr>
          <w:ilvl w:val="0"/>
          <w:numId w:val="4"/>
        </w:numPr>
        <w:rPr>
          <w:rFonts w:ascii="Cambria" w:hAnsi="Cambria"/>
          <w:sz w:val="22"/>
          <w:szCs w:val="22"/>
        </w:rPr>
      </w:pPr>
      <w:r w:rsidRPr="00463F72">
        <w:rPr>
          <w:rFonts w:ascii="Cambria" w:hAnsi="Cambria"/>
          <w:sz w:val="22"/>
          <w:szCs w:val="22"/>
        </w:rPr>
        <w:t>Use of personal USB drives or external storage media is prohibited unless explicitly authorized and encrypted.</w:t>
      </w:r>
    </w:p>
    <w:p w14:paraId="2EBAB67A" w14:textId="77777777" w:rsidR="00463F72" w:rsidRPr="00463F72" w:rsidRDefault="00463F72" w:rsidP="00463F72">
      <w:pPr>
        <w:rPr>
          <w:rFonts w:ascii="Cambria" w:hAnsi="Cambria"/>
          <w:b/>
          <w:bCs/>
          <w:sz w:val="22"/>
          <w:szCs w:val="22"/>
        </w:rPr>
      </w:pPr>
      <w:r w:rsidRPr="00463F72">
        <w:rPr>
          <w:rFonts w:ascii="Cambria" w:hAnsi="Cambria"/>
          <w:b/>
          <w:bCs/>
          <w:sz w:val="22"/>
          <w:szCs w:val="22"/>
        </w:rPr>
        <w:t>3.4 Software and Services</w:t>
      </w:r>
    </w:p>
    <w:p w14:paraId="4BF72B67" w14:textId="77777777" w:rsidR="00463F72" w:rsidRPr="00463F72" w:rsidRDefault="00463F72" w:rsidP="00463F72">
      <w:pPr>
        <w:numPr>
          <w:ilvl w:val="0"/>
          <w:numId w:val="5"/>
        </w:numPr>
        <w:rPr>
          <w:rFonts w:ascii="Cambria" w:hAnsi="Cambria"/>
          <w:sz w:val="22"/>
          <w:szCs w:val="22"/>
        </w:rPr>
      </w:pPr>
      <w:r w:rsidRPr="00463F72">
        <w:rPr>
          <w:rFonts w:ascii="Cambria" w:hAnsi="Cambria"/>
          <w:sz w:val="22"/>
          <w:szCs w:val="22"/>
        </w:rPr>
        <w:t>Installation of unapproved software, browser extensions, or cloud services (e.g., Dropbox, Google Drive) is prohibited.</w:t>
      </w:r>
    </w:p>
    <w:p w14:paraId="6448FA63" w14:textId="77777777" w:rsidR="00463F72" w:rsidRPr="00463F72" w:rsidRDefault="00463F72" w:rsidP="00463F72">
      <w:pPr>
        <w:numPr>
          <w:ilvl w:val="0"/>
          <w:numId w:val="5"/>
        </w:numPr>
        <w:rPr>
          <w:rFonts w:ascii="Cambria" w:hAnsi="Cambria"/>
          <w:sz w:val="22"/>
          <w:szCs w:val="22"/>
        </w:rPr>
      </w:pPr>
      <w:r w:rsidRPr="00463F72">
        <w:rPr>
          <w:rFonts w:ascii="Cambria" w:hAnsi="Cambria"/>
          <w:sz w:val="22"/>
          <w:szCs w:val="22"/>
        </w:rPr>
        <w:t xml:space="preserve">Only company-authorized IT staff </w:t>
      </w:r>
      <w:proofErr w:type="gramStart"/>
      <w:r w:rsidRPr="00463F72">
        <w:rPr>
          <w:rFonts w:ascii="Cambria" w:hAnsi="Cambria"/>
          <w:sz w:val="22"/>
          <w:szCs w:val="22"/>
        </w:rPr>
        <w:t>may</w:t>
      </w:r>
      <w:proofErr w:type="gramEnd"/>
      <w:r w:rsidRPr="00463F72">
        <w:rPr>
          <w:rFonts w:ascii="Cambria" w:hAnsi="Cambria"/>
          <w:sz w:val="22"/>
          <w:szCs w:val="22"/>
        </w:rPr>
        <w:t xml:space="preserve"> configure systems or install software.</w:t>
      </w:r>
    </w:p>
    <w:p w14:paraId="5EBA9E5A" w14:textId="77777777" w:rsidR="00463F72" w:rsidRPr="00463F72" w:rsidRDefault="00463F72" w:rsidP="00463F72">
      <w:pPr>
        <w:rPr>
          <w:rFonts w:ascii="Cambria" w:hAnsi="Cambria"/>
          <w:b/>
          <w:bCs/>
          <w:sz w:val="22"/>
          <w:szCs w:val="22"/>
        </w:rPr>
      </w:pPr>
      <w:r w:rsidRPr="00463F72">
        <w:rPr>
          <w:rFonts w:ascii="Cambria" w:hAnsi="Cambria"/>
          <w:b/>
          <w:bCs/>
          <w:sz w:val="22"/>
          <w:szCs w:val="22"/>
        </w:rPr>
        <w:t>3.5 Authentication and Access</w:t>
      </w:r>
    </w:p>
    <w:p w14:paraId="3859BC3C" w14:textId="77777777" w:rsidR="00463F72" w:rsidRPr="00463F72" w:rsidRDefault="00463F72" w:rsidP="00463F72">
      <w:pPr>
        <w:numPr>
          <w:ilvl w:val="0"/>
          <w:numId w:val="6"/>
        </w:numPr>
        <w:rPr>
          <w:rFonts w:ascii="Cambria" w:hAnsi="Cambria"/>
          <w:sz w:val="22"/>
          <w:szCs w:val="22"/>
        </w:rPr>
      </w:pPr>
      <w:r w:rsidRPr="00463F72">
        <w:rPr>
          <w:rFonts w:ascii="Cambria" w:hAnsi="Cambria"/>
          <w:sz w:val="22"/>
          <w:szCs w:val="22"/>
        </w:rPr>
        <w:t>Users must follow password and MFA requirements defined in the Access Control Policy.</w:t>
      </w:r>
    </w:p>
    <w:p w14:paraId="659725F5" w14:textId="77777777" w:rsidR="00463F72" w:rsidRPr="00463F72" w:rsidRDefault="00463F72" w:rsidP="00463F72">
      <w:pPr>
        <w:numPr>
          <w:ilvl w:val="0"/>
          <w:numId w:val="6"/>
        </w:numPr>
        <w:rPr>
          <w:rFonts w:ascii="Cambria" w:hAnsi="Cambria"/>
          <w:sz w:val="22"/>
          <w:szCs w:val="22"/>
        </w:rPr>
      </w:pPr>
      <w:r w:rsidRPr="00463F72">
        <w:rPr>
          <w:rFonts w:ascii="Cambria" w:hAnsi="Cambria"/>
          <w:sz w:val="22"/>
          <w:szCs w:val="22"/>
        </w:rPr>
        <w:t xml:space="preserve">Sharing passwords or </w:t>
      </w:r>
      <w:proofErr w:type="gramStart"/>
      <w:r w:rsidRPr="00463F72">
        <w:rPr>
          <w:rFonts w:ascii="Cambria" w:hAnsi="Cambria"/>
          <w:sz w:val="22"/>
          <w:szCs w:val="22"/>
        </w:rPr>
        <w:t>access</w:t>
      </w:r>
      <w:proofErr w:type="gramEnd"/>
      <w:r w:rsidRPr="00463F72">
        <w:rPr>
          <w:rFonts w:ascii="Cambria" w:hAnsi="Cambria"/>
          <w:sz w:val="22"/>
          <w:szCs w:val="22"/>
        </w:rPr>
        <w:t xml:space="preserve"> credentials is strictly prohibited.</w:t>
      </w:r>
    </w:p>
    <w:p w14:paraId="729811E0" w14:textId="77777777" w:rsidR="00463F72" w:rsidRPr="00463F72" w:rsidRDefault="00463F72" w:rsidP="00463F72">
      <w:pPr>
        <w:numPr>
          <w:ilvl w:val="0"/>
          <w:numId w:val="6"/>
        </w:numPr>
        <w:rPr>
          <w:rFonts w:ascii="Cambria" w:hAnsi="Cambria"/>
          <w:sz w:val="22"/>
          <w:szCs w:val="22"/>
        </w:rPr>
      </w:pPr>
      <w:r w:rsidRPr="00463F72">
        <w:rPr>
          <w:rFonts w:ascii="Cambria" w:hAnsi="Cambria"/>
          <w:sz w:val="22"/>
          <w:szCs w:val="22"/>
        </w:rPr>
        <w:t>All user activity may be logged and monitored for compliance and security.</w:t>
      </w:r>
    </w:p>
    <w:p w14:paraId="4EF2B177" w14:textId="77777777" w:rsidR="00463F72" w:rsidRPr="00463F72" w:rsidRDefault="00463F72" w:rsidP="00463F72">
      <w:pPr>
        <w:rPr>
          <w:rFonts w:ascii="Cambria" w:hAnsi="Cambria"/>
          <w:b/>
          <w:bCs/>
          <w:sz w:val="22"/>
          <w:szCs w:val="22"/>
        </w:rPr>
      </w:pPr>
      <w:r w:rsidRPr="00463F72">
        <w:rPr>
          <w:rFonts w:ascii="Cambria" w:hAnsi="Cambria"/>
          <w:b/>
          <w:bCs/>
          <w:sz w:val="22"/>
          <w:szCs w:val="22"/>
        </w:rPr>
        <w:t>3.6 Physical and Remote Access</w:t>
      </w:r>
    </w:p>
    <w:p w14:paraId="4F8EFC12" w14:textId="77777777" w:rsidR="00463F72" w:rsidRPr="00463F72" w:rsidRDefault="00463F72" w:rsidP="00463F72">
      <w:pPr>
        <w:numPr>
          <w:ilvl w:val="0"/>
          <w:numId w:val="7"/>
        </w:numPr>
        <w:rPr>
          <w:rFonts w:ascii="Cambria" w:hAnsi="Cambria"/>
          <w:sz w:val="22"/>
          <w:szCs w:val="22"/>
        </w:rPr>
      </w:pPr>
      <w:r w:rsidRPr="00463F72">
        <w:rPr>
          <w:rFonts w:ascii="Cambria" w:hAnsi="Cambria"/>
          <w:sz w:val="22"/>
          <w:szCs w:val="22"/>
        </w:rPr>
        <w:t>All unattended systems must be locked when not in use.</w:t>
      </w:r>
    </w:p>
    <w:p w14:paraId="3B691036" w14:textId="77777777" w:rsidR="00463F72" w:rsidRPr="00463F72" w:rsidRDefault="00463F72" w:rsidP="00463F72">
      <w:pPr>
        <w:numPr>
          <w:ilvl w:val="0"/>
          <w:numId w:val="7"/>
        </w:numPr>
        <w:rPr>
          <w:rFonts w:ascii="Cambria" w:hAnsi="Cambria"/>
          <w:sz w:val="22"/>
          <w:szCs w:val="22"/>
        </w:rPr>
      </w:pPr>
      <w:r w:rsidRPr="00463F72">
        <w:rPr>
          <w:rFonts w:ascii="Cambria" w:hAnsi="Cambria"/>
          <w:sz w:val="22"/>
          <w:szCs w:val="22"/>
        </w:rPr>
        <w:t>Remote access must occur through company-approved tools such as VPN or MDM-enforced SSO.</w:t>
      </w:r>
    </w:p>
    <w:p w14:paraId="489FC102" w14:textId="77777777" w:rsidR="00463F72" w:rsidRPr="00463F72" w:rsidRDefault="00463F72" w:rsidP="00463F72">
      <w:pPr>
        <w:rPr>
          <w:rFonts w:ascii="Cambria" w:hAnsi="Cambria"/>
          <w:b/>
          <w:bCs/>
          <w:sz w:val="22"/>
          <w:szCs w:val="22"/>
        </w:rPr>
      </w:pPr>
      <w:r w:rsidRPr="00463F72">
        <w:rPr>
          <w:rFonts w:ascii="Cambria" w:hAnsi="Cambria"/>
          <w:b/>
          <w:bCs/>
          <w:sz w:val="22"/>
          <w:szCs w:val="22"/>
        </w:rPr>
        <w:t>3.7 Incident Reporting</w:t>
      </w:r>
    </w:p>
    <w:p w14:paraId="33BC37F4" w14:textId="77777777" w:rsidR="00463F72" w:rsidRPr="00463F72" w:rsidRDefault="00463F72" w:rsidP="00463F72">
      <w:pPr>
        <w:numPr>
          <w:ilvl w:val="0"/>
          <w:numId w:val="8"/>
        </w:numPr>
        <w:rPr>
          <w:rFonts w:ascii="Cambria" w:hAnsi="Cambria"/>
          <w:sz w:val="22"/>
          <w:szCs w:val="22"/>
        </w:rPr>
      </w:pPr>
      <w:r w:rsidRPr="00463F72">
        <w:rPr>
          <w:rFonts w:ascii="Cambria" w:hAnsi="Cambria"/>
          <w:sz w:val="22"/>
          <w:szCs w:val="22"/>
        </w:rPr>
        <w:t>Users must immediately report any suspected security incident, data breach, or policy violation to the security team.</w:t>
      </w:r>
    </w:p>
    <w:p w14:paraId="56BB5764" w14:textId="77777777" w:rsidR="00463F72" w:rsidRPr="00463F72" w:rsidRDefault="00463F72" w:rsidP="00463F72">
      <w:pPr>
        <w:numPr>
          <w:ilvl w:val="0"/>
          <w:numId w:val="8"/>
        </w:numPr>
        <w:rPr>
          <w:rFonts w:ascii="Cambria" w:hAnsi="Cambria"/>
          <w:sz w:val="22"/>
          <w:szCs w:val="22"/>
        </w:rPr>
      </w:pPr>
      <w:r w:rsidRPr="00463F72">
        <w:rPr>
          <w:rFonts w:ascii="Cambria" w:hAnsi="Cambria"/>
          <w:sz w:val="22"/>
          <w:szCs w:val="22"/>
        </w:rPr>
        <w:t>Failure to report may result in disciplinary action.</w:t>
      </w:r>
    </w:p>
    <w:p w14:paraId="6C1489AB" w14:textId="77777777" w:rsidR="00463F72" w:rsidRPr="00463F72" w:rsidRDefault="00463F72" w:rsidP="00463F72">
      <w:pPr>
        <w:rPr>
          <w:rFonts w:ascii="Cambria" w:hAnsi="Cambria"/>
          <w:sz w:val="22"/>
          <w:szCs w:val="22"/>
        </w:rPr>
      </w:pPr>
      <w:r w:rsidRPr="00463F72">
        <w:rPr>
          <w:rFonts w:ascii="Cambria" w:hAnsi="Cambria"/>
          <w:sz w:val="22"/>
          <w:szCs w:val="22"/>
        </w:rPr>
        <w:pict w14:anchorId="44C4DA3D">
          <v:rect id="_x0000_i1252" style="width:0;height:1.5pt" o:hralign="center" o:hrstd="t" o:hr="t" fillcolor="#a0a0a0" stroked="f"/>
        </w:pict>
      </w:r>
    </w:p>
    <w:p w14:paraId="6AF24600" w14:textId="77777777" w:rsidR="00463F72" w:rsidRPr="00463F72" w:rsidRDefault="00463F72" w:rsidP="00463F72">
      <w:pPr>
        <w:rPr>
          <w:rFonts w:ascii="Cambria" w:hAnsi="Cambria"/>
          <w:b/>
          <w:bCs/>
          <w:sz w:val="22"/>
          <w:szCs w:val="22"/>
        </w:rPr>
      </w:pPr>
      <w:r w:rsidRPr="00463F72">
        <w:rPr>
          <w:rFonts w:ascii="Cambria" w:hAnsi="Cambria"/>
          <w:b/>
          <w:bCs/>
          <w:sz w:val="22"/>
          <w:szCs w:val="22"/>
        </w:rPr>
        <w:t>4. Roles and Responsibilities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7"/>
        <w:gridCol w:w="5980"/>
      </w:tblGrid>
      <w:tr w:rsidR="00463F72" w:rsidRPr="00463F72" w14:paraId="3F29634D" w14:textId="77777777" w:rsidTr="00463F72">
        <w:trPr>
          <w:tblHeader/>
          <w:tblCellSpacing w:w="15" w:type="dxa"/>
        </w:trPr>
        <w:tc>
          <w:tcPr>
            <w:tcW w:w="0" w:type="auto"/>
            <w:vAlign w:val="center"/>
            <w:hideMark/>
          </w:tcPr>
          <w:p w14:paraId="6B7468F4" w14:textId="77777777" w:rsidR="00463F72" w:rsidRPr="00463F72" w:rsidRDefault="00463F72" w:rsidP="00463F72">
            <w:pPr>
              <w:rPr>
                <w:rFonts w:ascii="Cambria" w:hAnsi="Cambria"/>
                <w:b/>
                <w:bCs/>
                <w:sz w:val="22"/>
                <w:szCs w:val="22"/>
              </w:rPr>
            </w:pPr>
            <w:r w:rsidRPr="00463F72">
              <w:rPr>
                <w:rFonts w:ascii="Cambria" w:hAnsi="Cambria"/>
                <w:b/>
                <w:bCs/>
                <w:sz w:val="22"/>
                <w:szCs w:val="22"/>
              </w:rPr>
              <w:t>Role</w:t>
            </w:r>
          </w:p>
        </w:tc>
        <w:tc>
          <w:tcPr>
            <w:tcW w:w="0" w:type="auto"/>
            <w:vAlign w:val="center"/>
            <w:hideMark/>
          </w:tcPr>
          <w:p w14:paraId="6BEB5BB0" w14:textId="77777777" w:rsidR="00463F72" w:rsidRPr="00463F72" w:rsidRDefault="00463F72" w:rsidP="00463F72">
            <w:pPr>
              <w:rPr>
                <w:rFonts w:ascii="Cambria" w:hAnsi="Cambria"/>
                <w:b/>
                <w:bCs/>
                <w:sz w:val="22"/>
                <w:szCs w:val="22"/>
              </w:rPr>
            </w:pPr>
            <w:r w:rsidRPr="00463F72">
              <w:rPr>
                <w:rFonts w:ascii="Cambria" w:hAnsi="Cambria"/>
                <w:b/>
                <w:bCs/>
                <w:sz w:val="22"/>
                <w:szCs w:val="22"/>
              </w:rPr>
              <w:t>Responsibility</w:t>
            </w:r>
          </w:p>
        </w:tc>
      </w:tr>
      <w:tr w:rsidR="00463F72" w:rsidRPr="00463F72" w14:paraId="20A97129" w14:textId="77777777" w:rsidTr="00463F72">
        <w:trPr>
          <w:tblCellSpacing w:w="15" w:type="dxa"/>
        </w:trPr>
        <w:tc>
          <w:tcPr>
            <w:tcW w:w="0" w:type="auto"/>
            <w:vAlign w:val="center"/>
            <w:hideMark/>
          </w:tcPr>
          <w:p w14:paraId="31D35E42" w14:textId="77777777" w:rsidR="00463F72" w:rsidRPr="00463F72" w:rsidRDefault="00463F72" w:rsidP="00463F72">
            <w:pPr>
              <w:rPr>
                <w:rFonts w:ascii="Cambria" w:hAnsi="Cambria"/>
                <w:sz w:val="22"/>
                <w:szCs w:val="22"/>
              </w:rPr>
            </w:pPr>
            <w:r w:rsidRPr="00463F72">
              <w:rPr>
                <w:rFonts w:ascii="Cambria" w:hAnsi="Cambria"/>
                <w:sz w:val="22"/>
                <w:szCs w:val="22"/>
              </w:rPr>
              <w:t>All Users</w:t>
            </w:r>
          </w:p>
        </w:tc>
        <w:tc>
          <w:tcPr>
            <w:tcW w:w="0" w:type="auto"/>
            <w:vAlign w:val="center"/>
            <w:hideMark/>
          </w:tcPr>
          <w:p w14:paraId="14D3E94A" w14:textId="77777777" w:rsidR="00463F72" w:rsidRPr="00463F72" w:rsidRDefault="00463F72" w:rsidP="00463F72">
            <w:pPr>
              <w:rPr>
                <w:rFonts w:ascii="Cambria" w:hAnsi="Cambria"/>
                <w:sz w:val="22"/>
                <w:szCs w:val="22"/>
              </w:rPr>
            </w:pPr>
            <w:r w:rsidRPr="00463F72">
              <w:rPr>
                <w:rFonts w:ascii="Cambria" w:hAnsi="Cambria"/>
                <w:sz w:val="22"/>
                <w:szCs w:val="22"/>
              </w:rPr>
              <w:t>Understand, acknowledge, and comply with this policy</w:t>
            </w:r>
          </w:p>
        </w:tc>
      </w:tr>
      <w:tr w:rsidR="00463F72" w:rsidRPr="00463F72" w14:paraId="4077CD44" w14:textId="77777777" w:rsidTr="00463F72">
        <w:trPr>
          <w:tblCellSpacing w:w="15" w:type="dxa"/>
        </w:trPr>
        <w:tc>
          <w:tcPr>
            <w:tcW w:w="0" w:type="auto"/>
            <w:vAlign w:val="center"/>
            <w:hideMark/>
          </w:tcPr>
          <w:p w14:paraId="1F66EAFE" w14:textId="77777777" w:rsidR="00463F72" w:rsidRPr="00463F72" w:rsidRDefault="00463F72" w:rsidP="00463F72">
            <w:pPr>
              <w:rPr>
                <w:rFonts w:ascii="Cambria" w:hAnsi="Cambria"/>
                <w:sz w:val="22"/>
                <w:szCs w:val="22"/>
              </w:rPr>
            </w:pPr>
            <w:r w:rsidRPr="00463F72">
              <w:rPr>
                <w:rFonts w:ascii="Cambria" w:hAnsi="Cambria"/>
                <w:sz w:val="22"/>
                <w:szCs w:val="22"/>
              </w:rPr>
              <w:t>HR</w:t>
            </w:r>
          </w:p>
        </w:tc>
        <w:tc>
          <w:tcPr>
            <w:tcW w:w="0" w:type="auto"/>
            <w:vAlign w:val="center"/>
            <w:hideMark/>
          </w:tcPr>
          <w:p w14:paraId="4A51D57C" w14:textId="77777777" w:rsidR="00463F72" w:rsidRPr="00463F72" w:rsidRDefault="00463F72" w:rsidP="00463F72">
            <w:pPr>
              <w:rPr>
                <w:rFonts w:ascii="Cambria" w:hAnsi="Cambria"/>
                <w:sz w:val="22"/>
                <w:szCs w:val="22"/>
              </w:rPr>
            </w:pPr>
            <w:r w:rsidRPr="00463F72">
              <w:rPr>
                <w:rFonts w:ascii="Cambria" w:hAnsi="Cambria"/>
                <w:sz w:val="22"/>
                <w:szCs w:val="22"/>
              </w:rPr>
              <w:t>Include AUP in onboarding; retain signed acknowledgments</w:t>
            </w:r>
          </w:p>
        </w:tc>
      </w:tr>
      <w:tr w:rsidR="00463F72" w:rsidRPr="00463F72" w14:paraId="3B97ABF0" w14:textId="77777777" w:rsidTr="00463F72">
        <w:trPr>
          <w:tblCellSpacing w:w="15" w:type="dxa"/>
        </w:trPr>
        <w:tc>
          <w:tcPr>
            <w:tcW w:w="0" w:type="auto"/>
            <w:vAlign w:val="center"/>
            <w:hideMark/>
          </w:tcPr>
          <w:p w14:paraId="4F0A6DAA" w14:textId="77777777" w:rsidR="00463F72" w:rsidRPr="00463F72" w:rsidRDefault="00463F72" w:rsidP="00463F72">
            <w:pPr>
              <w:rPr>
                <w:rFonts w:ascii="Cambria" w:hAnsi="Cambria"/>
                <w:sz w:val="22"/>
                <w:szCs w:val="22"/>
              </w:rPr>
            </w:pPr>
            <w:r w:rsidRPr="00463F72">
              <w:rPr>
                <w:rFonts w:ascii="Cambria" w:hAnsi="Cambria"/>
                <w:sz w:val="22"/>
                <w:szCs w:val="22"/>
              </w:rPr>
              <w:lastRenderedPageBreak/>
              <w:t>IT/Security</w:t>
            </w:r>
          </w:p>
        </w:tc>
        <w:tc>
          <w:tcPr>
            <w:tcW w:w="0" w:type="auto"/>
            <w:vAlign w:val="center"/>
            <w:hideMark/>
          </w:tcPr>
          <w:p w14:paraId="5E1DE2EE" w14:textId="77777777" w:rsidR="00463F72" w:rsidRPr="00463F72" w:rsidRDefault="00463F72" w:rsidP="00463F72">
            <w:pPr>
              <w:rPr>
                <w:rFonts w:ascii="Cambria" w:hAnsi="Cambria"/>
                <w:sz w:val="22"/>
                <w:szCs w:val="22"/>
              </w:rPr>
            </w:pPr>
            <w:r w:rsidRPr="00463F72">
              <w:rPr>
                <w:rFonts w:ascii="Cambria" w:hAnsi="Cambria"/>
                <w:sz w:val="22"/>
                <w:szCs w:val="22"/>
              </w:rPr>
              <w:t>Enforce technical restrictions, monitor usage, investigate abuse</w:t>
            </w:r>
          </w:p>
        </w:tc>
      </w:tr>
      <w:tr w:rsidR="00463F72" w:rsidRPr="00463F72" w14:paraId="61878001" w14:textId="77777777" w:rsidTr="00463F72">
        <w:trPr>
          <w:tblCellSpacing w:w="15" w:type="dxa"/>
        </w:trPr>
        <w:tc>
          <w:tcPr>
            <w:tcW w:w="0" w:type="auto"/>
            <w:vAlign w:val="center"/>
            <w:hideMark/>
          </w:tcPr>
          <w:p w14:paraId="44ABEA1B" w14:textId="77777777" w:rsidR="00463F72" w:rsidRPr="00463F72" w:rsidRDefault="00463F72" w:rsidP="00463F72">
            <w:pPr>
              <w:rPr>
                <w:rFonts w:ascii="Cambria" w:hAnsi="Cambria"/>
                <w:sz w:val="22"/>
                <w:szCs w:val="22"/>
              </w:rPr>
            </w:pPr>
            <w:r w:rsidRPr="00463F72">
              <w:rPr>
                <w:rFonts w:ascii="Cambria" w:hAnsi="Cambria"/>
                <w:sz w:val="22"/>
                <w:szCs w:val="22"/>
              </w:rPr>
              <w:t>Managers</w:t>
            </w:r>
          </w:p>
        </w:tc>
        <w:tc>
          <w:tcPr>
            <w:tcW w:w="0" w:type="auto"/>
            <w:vAlign w:val="center"/>
            <w:hideMark/>
          </w:tcPr>
          <w:p w14:paraId="1240F86F" w14:textId="77777777" w:rsidR="00463F72" w:rsidRPr="00463F72" w:rsidRDefault="00463F72" w:rsidP="00463F72">
            <w:pPr>
              <w:rPr>
                <w:rFonts w:ascii="Cambria" w:hAnsi="Cambria"/>
                <w:sz w:val="22"/>
                <w:szCs w:val="22"/>
              </w:rPr>
            </w:pPr>
            <w:r w:rsidRPr="00463F72">
              <w:rPr>
                <w:rFonts w:ascii="Cambria" w:hAnsi="Cambria"/>
                <w:sz w:val="22"/>
                <w:szCs w:val="22"/>
              </w:rPr>
              <w:t>Ensure team compliance and escalate violations</w:t>
            </w:r>
          </w:p>
        </w:tc>
      </w:tr>
    </w:tbl>
    <w:p w14:paraId="2646A3B8" w14:textId="77777777" w:rsidR="00463F72" w:rsidRPr="00463F72" w:rsidRDefault="00463F72" w:rsidP="00463F72">
      <w:pPr>
        <w:rPr>
          <w:rFonts w:ascii="Cambria" w:hAnsi="Cambria"/>
          <w:sz w:val="22"/>
          <w:szCs w:val="22"/>
        </w:rPr>
      </w:pPr>
      <w:r w:rsidRPr="00463F72">
        <w:rPr>
          <w:rFonts w:ascii="Cambria" w:hAnsi="Cambria"/>
          <w:sz w:val="22"/>
          <w:szCs w:val="22"/>
        </w:rPr>
        <w:pict w14:anchorId="4EF52D9A">
          <v:rect id="_x0000_i1253" style="width:0;height:1.5pt" o:hralign="center" o:hrstd="t" o:hr="t" fillcolor="#a0a0a0" stroked="f"/>
        </w:pict>
      </w:r>
    </w:p>
    <w:p w14:paraId="7F039F42" w14:textId="77777777" w:rsidR="00463F72" w:rsidRPr="00463F72" w:rsidRDefault="00463F72" w:rsidP="00463F72">
      <w:pPr>
        <w:rPr>
          <w:rFonts w:ascii="Cambria" w:hAnsi="Cambria"/>
          <w:b/>
          <w:bCs/>
          <w:sz w:val="22"/>
          <w:szCs w:val="22"/>
        </w:rPr>
      </w:pPr>
      <w:r w:rsidRPr="00463F72">
        <w:rPr>
          <w:rFonts w:ascii="Cambria" w:hAnsi="Cambria"/>
          <w:b/>
          <w:bCs/>
          <w:sz w:val="22"/>
          <w:szCs w:val="22"/>
        </w:rPr>
        <w:t>5. Compliance and Enforcement</w:t>
      </w:r>
    </w:p>
    <w:p w14:paraId="4901A9E0" w14:textId="77777777" w:rsidR="00463F72" w:rsidRPr="00463F72" w:rsidRDefault="00463F72" w:rsidP="00463F72">
      <w:pPr>
        <w:rPr>
          <w:rFonts w:ascii="Cambria" w:hAnsi="Cambria"/>
          <w:sz w:val="22"/>
          <w:szCs w:val="22"/>
        </w:rPr>
      </w:pPr>
      <w:r w:rsidRPr="00463F72">
        <w:rPr>
          <w:rFonts w:ascii="Cambria" w:hAnsi="Cambria"/>
          <w:sz w:val="22"/>
          <w:szCs w:val="22"/>
        </w:rPr>
        <w:t>Violations of this policy may result in disciplinary action, up to and including termination of employment or contract, as well as legal action. The company reserves the right to monitor and audit use of systems to ensure compliance.</w:t>
      </w:r>
    </w:p>
    <w:p w14:paraId="5FDEDCCD" w14:textId="77777777" w:rsidR="00463F72" w:rsidRPr="00463F72" w:rsidRDefault="00463F72" w:rsidP="00463F72">
      <w:pPr>
        <w:rPr>
          <w:rFonts w:ascii="Cambria" w:hAnsi="Cambria"/>
          <w:sz w:val="22"/>
          <w:szCs w:val="22"/>
        </w:rPr>
      </w:pPr>
      <w:r w:rsidRPr="00463F72">
        <w:rPr>
          <w:rFonts w:ascii="Cambria" w:hAnsi="Cambria"/>
          <w:sz w:val="22"/>
          <w:szCs w:val="22"/>
        </w:rPr>
        <w:pict w14:anchorId="2EE345D0">
          <v:rect id="_x0000_i1254" style="width:0;height:1.5pt" o:hralign="center" o:hrstd="t" o:hr="t" fillcolor="#a0a0a0" stroked="f"/>
        </w:pict>
      </w:r>
    </w:p>
    <w:p w14:paraId="03C989EE" w14:textId="77777777" w:rsidR="00463F72" w:rsidRPr="00463F72" w:rsidRDefault="00463F72" w:rsidP="00463F72">
      <w:pPr>
        <w:rPr>
          <w:rFonts w:ascii="Cambria" w:hAnsi="Cambria"/>
          <w:b/>
          <w:bCs/>
          <w:sz w:val="22"/>
          <w:szCs w:val="22"/>
        </w:rPr>
      </w:pPr>
      <w:r w:rsidRPr="00463F72">
        <w:rPr>
          <w:rFonts w:ascii="Cambria" w:hAnsi="Cambria"/>
          <w:b/>
          <w:bCs/>
          <w:sz w:val="22"/>
          <w:szCs w:val="22"/>
        </w:rPr>
        <w:t>6. Review and Maintenance</w:t>
      </w:r>
    </w:p>
    <w:p w14:paraId="65BD20B0" w14:textId="77777777" w:rsidR="00463F72" w:rsidRPr="00463F72" w:rsidRDefault="00463F72" w:rsidP="00463F72">
      <w:pPr>
        <w:rPr>
          <w:rFonts w:ascii="Cambria" w:hAnsi="Cambria"/>
          <w:sz w:val="22"/>
          <w:szCs w:val="22"/>
        </w:rPr>
      </w:pPr>
      <w:r w:rsidRPr="00463F72">
        <w:rPr>
          <w:rFonts w:ascii="Cambria" w:hAnsi="Cambria"/>
          <w:sz w:val="22"/>
          <w:szCs w:val="22"/>
        </w:rPr>
        <w:t>This policy shall be reviewed annually by the CISO or designated security officer. Updates must be approved by executive leadership and communicated to all users.</w:t>
      </w:r>
    </w:p>
    <w:p w14:paraId="239BE6BE" w14:textId="77777777" w:rsidR="00463F72" w:rsidRPr="00463F72" w:rsidRDefault="00463F72" w:rsidP="00463F72">
      <w:pPr>
        <w:rPr>
          <w:rFonts w:ascii="Cambria" w:hAnsi="Cambria"/>
          <w:sz w:val="22"/>
          <w:szCs w:val="22"/>
        </w:rPr>
      </w:pPr>
      <w:r w:rsidRPr="00463F72">
        <w:rPr>
          <w:rFonts w:ascii="Cambria" w:hAnsi="Cambria"/>
          <w:sz w:val="22"/>
          <w:szCs w:val="22"/>
        </w:rPr>
        <w:pict w14:anchorId="5FFA005F">
          <v:rect id="_x0000_i1255" style="width:0;height:1.5pt" o:hralign="center" o:hrstd="t" o:hr="t" fillcolor="#a0a0a0" stroked="f"/>
        </w:pict>
      </w:r>
    </w:p>
    <w:p w14:paraId="2EEFC298" w14:textId="77777777" w:rsidR="00463F72" w:rsidRPr="00463F72" w:rsidRDefault="00463F72" w:rsidP="00463F72">
      <w:pPr>
        <w:rPr>
          <w:rFonts w:ascii="Cambria" w:hAnsi="Cambria"/>
          <w:b/>
          <w:bCs/>
          <w:sz w:val="22"/>
          <w:szCs w:val="22"/>
        </w:rPr>
      </w:pPr>
      <w:r w:rsidRPr="00463F72">
        <w:rPr>
          <w:rFonts w:ascii="Cambria" w:hAnsi="Cambria"/>
          <w:b/>
          <w:bCs/>
          <w:sz w:val="22"/>
          <w:szCs w:val="22"/>
        </w:rPr>
        <w:t>7. Framework Mappings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4"/>
        <w:gridCol w:w="7406"/>
      </w:tblGrid>
      <w:tr w:rsidR="00463F72" w:rsidRPr="00463F72" w14:paraId="2641B600" w14:textId="77777777" w:rsidTr="00463F72">
        <w:trPr>
          <w:tblHeader/>
          <w:tblCellSpacing w:w="15" w:type="dxa"/>
        </w:trPr>
        <w:tc>
          <w:tcPr>
            <w:tcW w:w="0" w:type="auto"/>
            <w:vAlign w:val="center"/>
            <w:hideMark/>
          </w:tcPr>
          <w:p w14:paraId="3F090434" w14:textId="77777777" w:rsidR="00463F72" w:rsidRPr="00463F72" w:rsidRDefault="00463F72" w:rsidP="00463F72">
            <w:pPr>
              <w:rPr>
                <w:rFonts w:ascii="Cambria" w:hAnsi="Cambria"/>
                <w:b/>
                <w:bCs/>
                <w:sz w:val="22"/>
                <w:szCs w:val="22"/>
              </w:rPr>
            </w:pPr>
            <w:r w:rsidRPr="00463F72">
              <w:rPr>
                <w:rFonts w:ascii="Cambria" w:hAnsi="Cambria"/>
                <w:b/>
                <w:bCs/>
                <w:sz w:val="22"/>
                <w:szCs w:val="22"/>
              </w:rPr>
              <w:t>Standard</w:t>
            </w:r>
          </w:p>
        </w:tc>
        <w:tc>
          <w:tcPr>
            <w:tcW w:w="0" w:type="auto"/>
            <w:vAlign w:val="center"/>
            <w:hideMark/>
          </w:tcPr>
          <w:p w14:paraId="57F32790" w14:textId="77777777" w:rsidR="00463F72" w:rsidRPr="00463F72" w:rsidRDefault="00463F72" w:rsidP="00463F72">
            <w:pPr>
              <w:rPr>
                <w:rFonts w:ascii="Cambria" w:hAnsi="Cambria"/>
                <w:b/>
                <w:bCs/>
                <w:sz w:val="22"/>
                <w:szCs w:val="22"/>
              </w:rPr>
            </w:pPr>
            <w:r w:rsidRPr="00463F72">
              <w:rPr>
                <w:rFonts w:ascii="Cambria" w:hAnsi="Cambria"/>
                <w:b/>
                <w:bCs/>
                <w:sz w:val="22"/>
                <w:szCs w:val="22"/>
              </w:rPr>
              <w:t>Clause / Control</w:t>
            </w:r>
          </w:p>
        </w:tc>
      </w:tr>
      <w:tr w:rsidR="00463F72" w:rsidRPr="00463F72" w14:paraId="5A054F6D" w14:textId="77777777" w:rsidTr="00463F72">
        <w:trPr>
          <w:tblCellSpacing w:w="15" w:type="dxa"/>
        </w:trPr>
        <w:tc>
          <w:tcPr>
            <w:tcW w:w="0" w:type="auto"/>
            <w:vAlign w:val="center"/>
            <w:hideMark/>
          </w:tcPr>
          <w:p w14:paraId="41EFED0D" w14:textId="77777777" w:rsidR="00463F72" w:rsidRPr="00463F72" w:rsidRDefault="00463F72" w:rsidP="00463F72">
            <w:pPr>
              <w:rPr>
                <w:rFonts w:ascii="Cambria" w:hAnsi="Cambria"/>
                <w:sz w:val="22"/>
                <w:szCs w:val="22"/>
              </w:rPr>
            </w:pPr>
            <w:r w:rsidRPr="00463F72">
              <w:rPr>
                <w:rFonts w:ascii="Cambria" w:hAnsi="Cambria"/>
                <w:b/>
                <w:bCs/>
                <w:sz w:val="22"/>
                <w:szCs w:val="22"/>
              </w:rPr>
              <w:t>NIST SP 800-53 Rev. 5</w:t>
            </w:r>
          </w:p>
        </w:tc>
        <w:tc>
          <w:tcPr>
            <w:tcW w:w="0" w:type="auto"/>
            <w:vAlign w:val="center"/>
            <w:hideMark/>
          </w:tcPr>
          <w:p w14:paraId="2C65D767" w14:textId="77777777" w:rsidR="00463F72" w:rsidRPr="00463F72" w:rsidRDefault="00463F72" w:rsidP="00463F72">
            <w:pPr>
              <w:rPr>
                <w:rFonts w:ascii="Cambria" w:hAnsi="Cambria"/>
                <w:sz w:val="22"/>
                <w:szCs w:val="22"/>
              </w:rPr>
            </w:pPr>
            <w:r w:rsidRPr="00463F72">
              <w:rPr>
                <w:rFonts w:ascii="Cambria" w:hAnsi="Cambria"/>
                <w:sz w:val="22"/>
                <w:szCs w:val="22"/>
              </w:rPr>
              <w:t>AC-1 (Access Control Policy), PL-4 (Rules of Behavior), AU-6 (Audit Review), IR-6 (Incident Reporting)</w:t>
            </w:r>
          </w:p>
        </w:tc>
      </w:tr>
      <w:tr w:rsidR="00463F72" w:rsidRPr="00463F72" w14:paraId="7422A884" w14:textId="77777777" w:rsidTr="00463F72">
        <w:trPr>
          <w:tblCellSpacing w:w="15" w:type="dxa"/>
        </w:trPr>
        <w:tc>
          <w:tcPr>
            <w:tcW w:w="0" w:type="auto"/>
            <w:vAlign w:val="center"/>
            <w:hideMark/>
          </w:tcPr>
          <w:p w14:paraId="18C4ED9B" w14:textId="77777777" w:rsidR="00463F72" w:rsidRPr="00463F72" w:rsidRDefault="00463F72" w:rsidP="00463F72">
            <w:pPr>
              <w:rPr>
                <w:rFonts w:ascii="Cambria" w:hAnsi="Cambria"/>
                <w:sz w:val="22"/>
                <w:szCs w:val="22"/>
              </w:rPr>
            </w:pPr>
            <w:r w:rsidRPr="00463F72">
              <w:rPr>
                <w:rFonts w:ascii="Cambria" w:hAnsi="Cambria"/>
                <w:b/>
                <w:bCs/>
                <w:sz w:val="22"/>
                <w:szCs w:val="22"/>
              </w:rPr>
              <w:t>ISO/IEC 27001:2022</w:t>
            </w:r>
          </w:p>
        </w:tc>
        <w:tc>
          <w:tcPr>
            <w:tcW w:w="0" w:type="auto"/>
            <w:vAlign w:val="center"/>
            <w:hideMark/>
          </w:tcPr>
          <w:p w14:paraId="55DC0117" w14:textId="77777777" w:rsidR="00463F72" w:rsidRPr="00463F72" w:rsidRDefault="00463F72" w:rsidP="00463F72">
            <w:pPr>
              <w:rPr>
                <w:rFonts w:ascii="Cambria" w:hAnsi="Cambria"/>
                <w:sz w:val="22"/>
                <w:szCs w:val="22"/>
              </w:rPr>
            </w:pPr>
            <w:r w:rsidRPr="00463F72">
              <w:rPr>
                <w:rFonts w:ascii="Cambria" w:hAnsi="Cambria"/>
                <w:sz w:val="22"/>
                <w:szCs w:val="22"/>
              </w:rPr>
              <w:t>A.5.1 (Policies for Information Security), A.5.6 (Acceptable Use of Assets), A.6.1.1 (InfoSec Responsibilities)</w:t>
            </w:r>
          </w:p>
        </w:tc>
      </w:tr>
    </w:tbl>
    <w:p w14:paraId="70A7D5FF" w14:textId="77777777" w:rsidR="00463F72" w:rsidRPr="00463F72" w:rsidRDefault="00463F72" w:rsidP="00463F72">
      <w:pPr>
        <w:rPr>
          <w:rFonts w:ascii="Cambria" w:hAnsi="Cambria"/>
          <w:sz w:val="22"/>
          <w:szCs w:val="22"/>
        </w:rPr>
      </w:pPr>
      <w:r w:rsidRPr="00463F72">
        <w:rPr>
          <w:rFonts w:ascii="Cambria" w:hAnsi="Cambria"/>
          <w:sz w:val="22"/>
          <w:szCs w:val="22"/>
        </w:rPr>
        <w:pict w14:anchorId="14ED251D">
          <v:rect id="_x0000_i1256" style="width:0;height:1.5pt" o:hralign="center" o:hrstd="t" o:hr="t" fillcolor="#a0a0a0" stroked="f"/>
        </w:pict>
      </w:r>
    </w:p>
    <w:p w14:paraId="71C99630" w14:textId="77777777" w:rsidR="00463F72" w:rsidRPr="00463F72" w:rsidRDefault="00463F72" w:rsidP="00463F72">
      <w:pPr>
        <w:rPr>
          <w:rFonts w:ascii="Cambria" w:hAnsi="Cambria"/>
          <w:b/>
          <w:bCs/>
          <w:sz w:val="22"/>
          <w:szCs w:val="22"/>
        </w:rPr>
      </w:pPr>
      <w:r w:rsidRPr="00463F72">
        <w:rPr>
          <w:rFonts w:ascii="Cambria" w:hAnsi="Cambria"/>
          <w:b/>
          <w:bCs/>
          <w:sz w:val="22"/>
          <w:szCs w:val="22"/>
        </w:rPr>
        <w:t>8. Acknowledgment</w:t>
      </w:r>
    </w:p>
    <w:p w14:paraId="5D93A7B2" w14:textId="77777777" w:rsidR="00463F72" w:rsidRPr="00463F72" w:rsidRDefault="00463F72" w:rsidP="00463F72">
      <w:pPr>
        <w:rPr>
          <w:rFonts w:ascii="Cambria" w:hAnsi="Cambria"/>
          <w:sz w:val="22"/>
          <w:szCs w:val="22"/>
        </w:rPr>
      </w:pPr>
      <w:r w:rsidRPr="00463F72">
        <w:rPr>
          <w:rFonts w:ascii="Cambria" w:hAnsi="Cambria"/>
          <w:sz w:val="22"/>
          <w:szCs w:val="22"/>
        </w:rPr>
        <w:t>All users must sign an acknowledgment form indicating that they have read, understood, and agreed to comply with this policy. HR is responsible for record retention.</w:t>
      </w:r>
    </w:p>
    <w:p w14:paraId="3222523A" w14:textId="77777777" w:rsidR="00463F72" w:rsidRPr="00A2167D" w:rsidRDefault="00463F72">
      <w:pPr>
        <w:rPr>
          <w:rFonts w:ascii="Cambria" w:hAnsi="Cambria"/>
          <w:sz w:val="22"/>
          <w:szCs w:val="22"/>
        </w:rPr>
      </w:pPr>
    </w:p>
    <w:sectPr w:rsidR="00463F72" w:rsidRPr="00A21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E22DF"/>
    <w:multiLevelType w:val="multilevel"/>
    <w:tmpl w:val="E80E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05B2B"/>
    <w:multiLevelType w:val="multilevel"/>
    <w:tmpl w:val="6FBE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77DFC"/>
    <w:multiLevelType w:val="multilevel"/>
    <w:tmpl w:val="223E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16572"/>
    <w:multiLevelType w:val="multilevel"/>
    <w:tmpl w:val="27F4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642962"/>
    <w:multiLevelType w:val="multilevel"/>
    <w:tmpl w:val="BDBC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9B2B84"/>
    <w:multiLevelType w:val="multilevel"/>
    <w:tmpl w:val="55C8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CD4558"/>
    <w:multiLevelType w:val="multilevel"/>
    <w:tmpl w:val="2830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5E073C"/>
    <w:multiLevelType w:val="multilevel"/>
    <w:tmpl w:val="7FFA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321986">
    <w:abstractNumId w:val="3"/>
  </w:num>
  <w:num w:numId="2" w16cid:durableId="1322198809">
    <w:abstractNumId w:val="4"/>
  </w:num>
  <w:num w:numId="3" w16cid:durableId="1985349841">
    <w:abstractNumId w:val="2"/>
  </w:num>
  <w:num w:numId="4" w16cid:durableId="1025250322">
    <w:abstractNumId w:val="6"/>
  </w:num>
  <w:num w:numId="5" w16cid:durableId="789395980">
    <w:abstractNumId w:val="5"/>
  </w:num>
  <w:num w:numId="6" w16cid:durableId="1561475736">
    <w:abstractNumId w:val="0"/>
  </w:num>
  <w:num w:numId="7" w16cid:durableId="1487282687">
    <w:abstractNumId w:val="1"/>
  </w:num>
  <w:num w:numId="8" w16cid:durableId="15758170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F72"/>
    <w:rsid w:val="003D594C"/>
    <w:rsid w:val="00463F72"/>
    <w:rsid w:val="00A21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9221A"/>
  <w15:chartTrackingRefBased/>
  <w15:docId w15:val="{E8679A2B-D5F7-44C1-A384-49FA322E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F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3F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3F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3F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3F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3F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F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F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F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F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3F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3F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3F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3F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3F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F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F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F72"/>
    <w:rPr>
      <w:rFonts w:eastAsiaTheme="majorEastAsia" w:cstheme="majorBidi"/>
      <w:color w:val="272727" w:themeColor="text1" w:themeTint="D8"/>
    </w:rPr>
  </w:style>
  <w:style w:type="paragraph" w:styleId="Title">
    <w:name w:val="Title"/>
    <w:basedOn w:val="Normal"/>
    <w:next w:val="Normal"/>
    <w:link w:val="TitleChar"/>
    <w:uiPriority w:val="10"/>
    <w:qFormat/>
    <w:rsid w:val="00463F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F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F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F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F72"/>
    <w:pPr>
      <w:spacing w:before="160"/>
      <w:jc w:val="center"/>
    </w:pPr>
    <w:rPr>
      <w:i/>
      <w:iCs/>
      <w:color w:val="404040" w:themeColor="text1" w:themeTint="BF"/>
    </w:rPr>
  </w:style>
  <w:style w:type="character" w:customStyle="1" w:styleId="QuoteChar">
    <w:name w:val="Quote Char"/>
    <w:basedOn w:val="DefaultParagraphFont"/>
    <w:link w:val="Quote"/>
    <w:uiPriority w:val="29"/>
    <w:rsid w:val="00463F72"/>
    <w:rPr>
      <w:i/>
      <w:iCs/>
      <w:color w:val="404040" w:themeColor="text1" w:themeTint="BF"/>
    </w:rPr>
  </w:style>
  <w:style w:type="paragraph" w:styleId="ListParagraph">
    <w:name w:val="List Paragraph"/>
    <w:basedOn w:val="Normal"/>
    <w:uiPriority w:val="34"/>
    <w:qFormat/>
    <w:rsid w:val="00463F72"/>
    <w:pPr>
      <w:ind w:left="720"/>
      <w:contextualSpacing/>
    </w:pPr>
  </w:style>
  <w:style w:type="character" w:styleId="IntenseEmphasis">
    <w:name w:val="Intense Emphasis"/>
    <w:basedOn w:val="DefaultParagraphFont"/>
    <w:uiPriority w:val="21"/>
    <w:qFormat/>
    <w:rsid w:val="00463F72"/>
    <w:rPr>
      <w:i/>
      <w:iCs/>
      <w:color w:val="0F4761" w:themeColor="accent1" w:themeShade="BF"/>
    </w:rPr>
  </w:style>
  <w:style w:type="paragraph" w:styleId="IntenseQuote">
    <w:name w:val="Intense Quote"/>
    <w:basedOn w:val="Normal"/>
    <w:next w:val="Normal"/>
    <w:link w:val="IntenseQuoteChar"/>
    <w:uiPriority w:val="30"/>
    <w:qFormat/>
    <w:rsid w:val="00463F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3F72"/>
    <w:rPr>
      <w:i/>
      <w:iCs/>
      <w:color w:val="0F4761" w:themeColor="accent1" w:themeShade="BF"/>
    </w:rPr>
  </w:style>
  <w:style w:type="character" w:styleId="IntenseReference">
    <w:name w:val="Intense Reference"/>
    <w:basedOn w:val="DefaultParagraphFont"/>
    <w:uiPriority w:val="32"/>
    <w:qFormat/>
    <w:rsid w:val="00463F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727316">
      <w:bodyDiv w:val="1"/>
      <w:marLeft w:val="0"/>
      <w:marRight w:val="0"/>
      <w:marTop w:val="0"/>
      <w:marBottom w:val="0"/>
      <w:divBdr>
        <w:top w:val="none" w:sz="0" w:space="0" w:color="auto"/>
        <w:left w:val="none" w:sz="0" w:space="0" w:color="auto"/>
        <w:bottom w:val="none" w:sz="0" w:space="0" w:color="auto"/>
        <w:right w:val="none" w:sz="0" w:space="0" w:color="auto"/>
      </w:divBdr>
      <w:divsChild>
        <w:div w:id="1190492864">
          <w:marLeft w:val="0"/>
          <w:marRight w:val="0"/>
          <w:marTop w:val="0"/>
          <w:marBottom w:val="0"/>
          <w:divBdr>
            <w:top w:val="none" w:sz="0" w:space="0" w:color="auto"/>
            <w:left w:val="none" w:sz="0" w:space="0" w:color="auto"/>
            <w:bottom w:val="none" w:sz="0" w:space="0" w:color="auto"/>
            <w:right w:val="none" w:sz="0" w:space="0" w:color="auto"/>
          </w:divBdr>
          <w:divsChild>
            <w:div w:id="363676952">
              <w:marLeft w:val="0"/>
              <w:marRight w:val="0"/>
              <w:marTop w:val="0"/>
              <w:marBottom w:val="0"/>
              <w:divBdr>
                <w:top w:val="none" w:sz="0" w:space="0" w:color="auto"/>
                <w:left w:val="none" w:sz="0" w:space="0" w:color="auto"/>
                <w:bottom w:val="none" w:sz="0" w:space="0" w:color="auto"/>
                <w:right w:val="none" w:sz="0" w:space="0" w:color="auto"/>
              </w:divBdr>
            </w:div>
          </w:divsChild>
        </w:div>
        <w:div w:id="1526018213">
          <w:marLeft w:val="0"/>
          <w:marRight w:val="0"/>
          <w:marTop w:val="0"/>
          <w:marBottom w:val="0"/>
          <w:divBdr>
            <w:top w:val="none" w:sz="0" w:space="0" w:color="auto"/>
            <w:left w:val="none" w:sz="0" w:space="0" w:color="auto"/>
            <w:bottom w:val="none" w:sz="0" w:space="0" w:color="auto"/>
            <w:right w:val="none" w:sz="0" w:space="0" w:color="auto"/>
          </w:divBdr>
          <w:divsChild>
            <w:div w:id="28739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54625">
      <w:bodyDiv w:val="1"/>
      <w:marLeft w:val="0"/>
      <w:marRight w:val="0"/>
      <w:marTop w:val="0"/>
      <w:marBottom w:val="0"/>
      <w:divBdr>
        <w:top w:val="none" w:sz="0" w:space="0" w:color="auto"/>
        <w:left w:val="none" w:sz="0" w:space="0" w:color="auto"/>
        <w:bottom w:val="none" w:sz="0" w:space="0" w:color="auto"/>
        <w:right w:val="none" w:sz="0" w:space="0" w:color="auto"/>
      </w:divBdr>
      <w:divsChild>
        <w:div w:id="1982539449">
          <w:marLeft w:val="0"/>
          <w:marRight w:val="0"/>
          <w:marTop w:val="0"/>
          <w:marBottom w:val="0"/>
          <w:divBdr>
            <w:top w:val="none" w:sz="0" w:space="0" w:color="auto"/>
            <w:left w:val="none" w:sz="0" w:space="0" w:color="auto"/>
            <w:bottom w:val="none" w:sz="0" w:space="0" w:color="auto"/>
            <w:right w:val="none" w:sz="0" w:space="0" w:color="auto"/>
          </w:divBdr>
          <w:divsChild>
            <w:div w:id="1812867915">
              <w:marLeft w:val="0"/>
              <w:marRight w:val="0"/>
              <w:marTop w:val="0"/>
              <w:marBottom w:val="0"/>
              <w:divBdr>
                <w:top w:val="none" w:sz="0" w:space="0" w:color="auto"/>
                <w:left w:val="none" w:sz="0" w:space="0" w:color="auto"/>
                <w:bottom w:val="none" w:sz="0" w:space="0" w:color="auto"/>
                <w:right w:val="none" w:sz="0" w:space="0" w:color="auto"/>
              </w:divBdr>
            </w:div>
          </w:divsChild>
        </w:div>
        <w:div w:id="615479506">
          <w:marLeft w:val="0"/>
          <w:marRight w:val="0"/>
          <w:marTop w:val="0"/>
          <w:marBottom w:val="0"/>
          <w:divBdr>
            <w:top w:val="none" w:sz="0" w:space="0" w:color="auto"/>
            <w:left w:val="none" w:sz="0" w:space="0" w:color="auto"/>
            <w:bottom w:val="none" w:sz="0" w:space="0" w:color="auto"/>
            <w:right w:val="none" w:sz="0" w:space="0" w:color="auto"/>
          </w:divBdr>
          <w:divsChild>
            <w:div w:id="207823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Zanoni</dc:creator>
  <cp:keywords/>
  <dc:description/>
  <cp:lastModifiedBy>Kaitlin Zanoni</cp:lastModifiedBy>
  <cp:revision>1</cp:revision>
  <dcterms:created xsi:type="dcterms:W3CDTF">2025-05-02T21:24:00Z</dcterms:created>
  <dcterms:modified xsi:type="dcterms:W3CDTF">2025-05-02T21:35:00Z</dcterms:modified>
</cp:coreProperties>
</file>