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FDC2E" w14:textId="77777777" w:rsidR="009A6864" w:rsidRDefault="007F3DC4" w:rsidP="00237410">
      <w:pPr>
        <w:spacing w:after="0"/>
        <w:jc w:val="center"/>
        <w:rPr>
          <w:rFonts w:ascii="Cambria" w:hAnsi="Cambria"/>
          <w:b/>
          <w:bCs/>
          <w:sz w:val="20"/>
          <w:szCs w:val="20"/>
        </w:rPr>
      </w:pPr>
      <w:r w:rsidRPr="007F3DC4">
        <w:rPr>
          <w:rFonts w:ascii="Cambria" w:hAnsi="Cambria"/>
          <w:b/>
          <w:bCs/>
        </w:rPr>
        <w:t>Disaster Recovery Policy (DRP)</w:t>
      </w:r>
      <w:r w:rsidRPr="007F3DC4">
        <w:rPr>
          <w:rFonts w:ascii="Cambria" w:hAnsi="Cambria"/>
        </w:rPr>
        <w:br/>
      </w:r>
    </w:p>
    <w:p w14:paraId="0C569FA2" w14:textId="435246B8" w:rsidR="007F3DC4" w:rsidRPr="007F3DC4" w:rsidRDefault="007F3DC4" w:rsidP="00237410">
      <w:pPr>
        <w:spacing w:after="120"/>
        <w:rPr>
          <w:rFonts w:ascii="Cambria" w:hAnsi="Cambria"/>
          <w:sz w:val="20"/>
          <w:szCs w:val="20"/>
        </w:rPr>
      </w:pPr>
      <w:r w:rsidRPr="007F3DC4">
        <w:rPr>
          <w:rFonts w:ascii="Cambria" w:hAnsi="Cambria"/>
          <w:b/>
          <w:bCs/>
          <w:sz w:val="20"/>
          <w:szCs w:val="20"/>
        </w:rPr>
        <w:t>Policy ID:</w:t>
      </w:r>
      <w:r w:rsidRPr="007F3DC4">
        <w:rPr>
          <w:rFonts w:ascii="Cambria" w:hAnsi="Cambria"/>
          <w:sz w:val="20"/>
          <w:szCs w:val="20"/>
        </w:rPr>
        <w:t xml:space="preserve"> SEC-DRP-001</w:t>
      </w:r>
      <w:r w:rsidRPr="007F3DC4">
        <w:rPr>
          <w:rFonts w:ascii="Cambria" w:hAnsi="Cambria"/>
          <w:sz w:val="20"/>
          <w:szCs w:val="20"/>
        </w:rPr>
        <w:br/>
      </w:r>
      <w:r w:rsidRPr="007F3DC4">
        <w:rPr>
          <w:rFonts w:ascii="Cambria" w:hAnsi="Cambria"/>
          <w:b/>
          <w:bCs/>
          <w:sz w:val="20"/>
          <w:szCs w:val="20"/>
        </w:rPr>
        <w:t>Version:</w:t>
      </w:r>
      <w:r w:rsidRPr="007F3DC4">
        <w:rPr>
          <w:rFonts w:ascii="Cambria" w:hAnsi="Cambria"/>
          <w:sz w:val="20"/>
          <w:szCs w:val="20"/>
        </w:rPr>
        <w:t xml:space="preserve"> 1.0</w:t>
      </w:r>
      <w:r w:rsidRPr="007F3DC4">
        <w:rPr>
          <w:rFonts w:ascii="Cambria" w:hAnsi="Cambria"/>
          <w:sz w:val="20"/>
          <w:szCs w:val="20"/>
        </w:rPr>
        <w:br/>
      </w:r>
      <w:r w:rsidRPr="007F3DC4">
        <w:rPr>
          <w:rFonts w:ascii="Cambria" w:hAnsi="Cambria"/>
          <w:b/>
          <w:bCs/>
          <w:sz w:val="20"/>
          <w:szCs w:val="20"/>
        </w:rPr>
        <w:t>Approval Date:</w:t>
      </w:r>
      <w:r w:rsidRPr="007F3DC4">
        <w:rPr>
          <w:rFonts w:ascii="Cambria" w:hAnsi="Cambria"/>
          <w:sz w:val="20"/>
          <w:szCs w:val="20"/>
        </w:rPr>
        <w:t xml:space="preserve"> [Insert Date]</w:t>
      </w:r>
      <w:r w:rsidRPr="007F3DC4">
        <w:rPr>
          <w:rFonts w:ascii="Cambria" w:hAnsi="Cambria"/>
          <w:sz w:val="20"/>
          <w:szCs w:val="20"/>
        </w:rPr>
        <w:br/>
      </w:r>
      <w:r w:rsidRPr="007F3DC4">
        <w:rPr>
          <w:rFonts w:ascii="Cambria" w:hAnsi="Cambria"/>
          <w:b/>
          <w:bCs/>
          <w:sz w:val="20"/>
          <w:szCs w:val="20"/>
        </w:rPr>
        <w:t>Next Review Date:</w:t>
      </w:r>
      <w:r w:rsidRPr="007F3DC4">
        <w:rPr>
          <w:rFonts w:ascii="Cambria" w:hAnsi="Cambria"/>
          <w:sz w:val="20"/>
          <w:szCs w:val="20"/>
        </w:rPr>
        <w:t xml:space="preserve"> [Insert Date + 12 months]</w:t>
      </w:r>
      <w:r w:rsidRPr="007F3DC4">
        <w:rPr>
          <w:rFonts w:ascii="Cambria" w:hAnsi="Cambria"/>
          <w:sz w:val="20"/>
          <w:szCs w:val="20"/>
        </w:rPr>
        <w:br/>
      </w:r>
      <w:r w:rsidRPr="007F3DC4">
        <w:rPr>
          <w:rFonts w:ascii="Cambria" w:hAnsi="Cambria"/>
          <w:b/>
          <w:bCs/>
          <w:sz w:val="20"/>
          <w:szCs w:val="20"/>
        </w:rPr>
        <w:t>Owner:</w:t>
      </w:r>
      <w:r w:rsidRPr="007F3DC4">
        <w:rPr>
          <w:rFonts w:ascii="Cambria" w:hAnsi="Cambria"/>
          <w:sz w:val="20"/>
          <w:szCs w:val="20"/>
        </w:rPr>
        <w:t xml:space="preserve"> Chief Information Security Officer (CISO)</w:t>
      </w:r>
      <w:r w:rsidRPr="007F3DC4">
        <w:rPr>
          <w:rFonts w:ascii="Cambria" w:hAnsi="Cambria"/>
          <w:sz w:val="20"/>
          <w:szCs w:val="20"/>
        </w:rPr>
        <w:br/>
      </w:r>
      <w:r w:rsidRPr="007F3DC4">
        <w:rPr>
          <w:rFonts w:ascii="Cambria" w:hAnsi="Cambria"/>
          <w:b/>
          <w:bCs/>
          <w:sz w:val="20"/>
          <w:szCs w:val="20"/>
        </w:rPr>
        <w:t>Applies To:</w:t>
      </w:r>
      <w:r w:rsidRPr="007F3DC4">
        <w:rPr>
          <w:rFonts w:ascii="Cambria" w:hAnsi="Cambria"/>
          <w:sz w:val="20"/>
          <w:szCs w:val="20"/>
        </w:rPr>
        <w:t xml:space="preserve"> All employees, IT teams, and service providers responsible for system continuity and recovery</w:t>
      </w:r>
    </w:p>
    <w:p w14:paraId="7236C485" w14:textId="77777777" w:rsidR="007F3DC4" w:rsidRPr="007F3DC4" w:rsidRDefault="0067439C" w:rsidP="00237410">
      <w:pPr>
        <w:spacing w:after="1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pict w14:anchorId="5E814007">
          <v:rect id="_x0000_i1025" style="width:0;height:1.5pt" o:hralign="center" o:hrstd="t" o:hr="t" fillcolor="#a0a0a0" stroked="f"/>
        </w:pict>
      </w:r>
    </w:p>
    <w:p w14:paraId="3A1E04C6" w14:textId="77777777" w:rsidR="007F3DC4" w:rsidRPr="007F3DC4" w:rsidRDefault="007F3DC4" w:rsidP="00237410">
      <w:pPr>
        <w:spacing w:after="120"/>
        <w:rPr>
          <w:rFonts w:ascii="Cambria" w:hAnsi="Cambria"/>
          <w:b/>
          <w:bCs/>
          <w:sz w:val="22"/>
          <w:szCs w:val="22"/>
        </w:rPr>
      </w:pPr>
      <w:r w:rsidRPr="007F3DC4">
        <w:rPr>
          <w:rFonts w:ascii="Cambria" w:hAnsi="Cambria"/>
          <w:b/>
          <w:bCs/>
          <w:sz w:val="22"/>
          <w:szCs w:val="22"/>
        </w:rPr>
        <w:t>1. Purpose</w:t>
      </w:r>
    </w:p>
    <w:p w14:paraId="2CA9ED7B" w14:textId="77777777" w:rsidR="007F3DC4" w:rsidRPr="007F3DC4" w:rsidRDefault="007F3DC4" w:rsidP="00237410">
      <w:pPr>
        <w:spacing w:after="0"/>
        <w:rPr>
          <w:rFonts w:ascii="Cambria" w:hAnsi="Cambria"/>
          <w:sz w:val="20"/>
          <w:szCs w:val="20"/>
        </w:rPr>
      </w:pPr>
      <w:r w:rsidRPr="007F3DC4">
        <w:rPr>
          <w:rFonts w:ascii="Cambria" w:hAnsi="Cambria"/>
          <w:sz w:val="20"/>
          <w:szCs w:val="20"/>
        </w:rPr>
        <w:t>This Disaster Recovery Policy establishes the requirements for preparing, testing, and executing recovery efforts following disruptions to [COMPANY NAME]’s critical information systems. It ensures resilience, business continuity, and compliance with legal and regulatory obligations.</w:t>
      </w:r>
    </w:p>
    <w:p w14:paraId="0E086173" w14:textId="53C1D313" w:rsidR="007F3DC4" w:rsidRPr="007F3DC4" w:rsidRDefault="007F3DC4" w:rsidP="00237410">
      <w:pPr>
        <w:spacing w:after="0"/>
        <w:rPr>
          <w:rFonts w:ascii="Cambria" w:hAnsi="Cambria"/>
          <w:sz w:val="20"/>
          <w:szCs w:val="20"/>
        </w:rPr>
      </w:pPr>
    </w:p>
    <w:p w14:paraId="728F437A" w14:textId="77777777" w:rsidR="007F3DC4" w:rsidRPr="007F3DC4" w:rsidRDefault="007F3DC4" w:rsidP="00237410">
      <w:pPr>
        <w:spacing w:after="120"/>
        <w:rPr>
          <w:rFonts w:ascii="Cambria" w:hAnsi="Cambria"/>
          <w:b/>
          <w:bCs/>
          <w:sz w:val="22"/>
          <w:szCs w:val="22"/>
        </w:rPr>
      </w:pPr>
      <w:r w:rsidRPr="007F3DC4">
        <w:rPr>
          <w:rFonts w:ascii="Cambria" w:hAnsi="Cambria"/>
          <w:b/>
          <w:bCs/>
          <w:sz w:val="22"/>
          <w:szCs w:val="22"/>
        </w:rPr>
        <w:t>2. Scope</w:t>
      </w:r>
    </w:p>
    <w:p w14:paraId="7D1CA331" w14:textId="77777777" w:rsidR="007F3DC4" w:rsidRPr="007F3DC4" w:rsidRDefault="007F3DC4" w:rsidP="00860E5E">
      <w:pPr>
        <w:spacing w:after="120"/>
        <w:rPr>
          <w:rFonts w:ascii="Cambria" w:hAnsi="Cambria"/>
          <w:sz w:val="20"/>
          <w:szCs w:val="20"/>
        </w:rPr>
      </w:pPr>
      <w:r w:rsidRPr="007F3DC4">
        <w:rPr>
          <w:rFonts w:ascii="Cambria" w:hAnsi="Cambria"/>
          <w:sz w:val="20"/>
          <w:szCs w:val="20"/>
        </w:rPr>
        <w:t>This policy applies to all systems, infrastructure, applications, services, and personnel involved in the recovery of IT operations following disruptive incidents. Covered environments include:</w:t>
      </w:r>
    </w:p>
    <w:p w14:paraId="4EAD8304" w14:textId="77777777" w:rsidR="007F3DC4" w:rsidRPr="007F3DC4" w:rsidRDefault="007F3DC4" w:rsidP="00237410">
      <w:pPr>
        <w:numPr>
          <w:ilvl w:val="0"/>
          <w:numId w:val="1"/>
        </w:numPr>
        <w:spacing w:after="0"/>
        <w:rPr>
          <w:rFonts w:ascii="Cambria" w:hAnsi="Cambria"/>
          <w:sz w:val="20"/>
          <w:szCs w:val="20"/>
        </w:rPr>
      </w:pPr>
      <w:r w:rsidRPr="007F3DC4">
        <w:rPr>
          <w:rFonts w:ascii="Cambria" w:hAnsi="Cambria"/>
          <w:sz w:val="20"/>
          <w:szCs w:val="20"/>
        </w:rPr>
        <w:t>On-premises servers and storage systems</w:t>
      </w:r>
    </w:p>
    <w:p w14:paraId="7187FFCD" w14:textId="77777777" w:rsidR="007F3DC4" w:rsidRPr="007F3DC4" w:rsidRDefault="007F3DC4" w:rsidP="00237410">
      <w:pPr>
        <w:numPr>
          <w:ilvl w:val="0"/>
          <w:numId w:val="1"/>
        </w:numPr>
        <w:spacing w:after="0"/>
        <w:rPr>
          <w:rFonts w:ascii="Cambria" w:hAnsi="Cambria"/>
          <w:sz w:val="20"/>
          <w:szCs w:val="20"/>
        </w:rPr>
      </w:pPr>
      <w:r w:rsidRPr="007F3DC4">
        <w:rPr>
          <w:rFonts w:ascii="Cambria" w:hAnsi="Cambria"/>
          <w:sz w:val="20"/>
          <w:szCs w:val="20"/>
        </w:rPr>
        <w:t>Cloud-hosted services and virtual infrastructure</w:t>
      </w:r>
    </w:p>
    <w:p w14:paraId="096D4307" w14:textId="77777777" w:rsidR="007F3DC4" w:rsidRPr="007F3DC4" w:rsidRDefault="007F3DC4" w:rsidP="00237410">
      <w:pPr>
        <w:numPr>
          <w:ilvl w:val="0"/>
          <w:numId w:val="1"/>
        </w:numPr>
        <w:spacing w:after="0"/>
        <w:rPr>
          <w:rFonts w:ascii="Cambria" w:hAnsi="Cambria"/>
          <w:sz w:val="20"/>
          <w:szCs w:val="20"/>
        </w:rPr>
      </w:pPr>
      <w:r w:rsidRPr="007F3DC4">
        <w:rPr>
          <w:rFonts w:ascii="Cambria" w:hAnsi="Cambria"/>
          <w:sz w:val="20"/>
          <w:szCs w:val="20"/>
        </w:rPr>
        <w:t>Network and communication systems</w:t>
      </w:r>
    </w:p>
    <w:p w14:paraId="3FB11838" w14:textId="77777777" w:rsidR="007F3DC4" w:rsidRPr="007F3DC4" w:rsidRDefault="007F3DC4" w:rsidP="00237410">
      <w:pPr>
        <w:numPr>
          <w:ilvl w:val="0"/>
          <w:numId w:val="1"/>
        </w:numPr>
        <w:spacing w:after="0"/>
        <w:rPr>
          <w:rFonts w:ascii="Cambria" w:hAnsi="Cambria"/>
          <w:sz w:val="20"/>
          <w:szCs w:val="20"/>
        </w:rPr>
      </w:pPr>
      <w:r w:rsidRPr="007F3DC4">
        <w:rPr>
          <w:rFonts w:ascii="Cambria" w:hAnsi="Cambria"/>
          <w:sz w:val="20"/>
          <w:szCs w:val="20"/>
        </w:rPr>
        <w:t>Critical business applications and databases</w:t>
      </w:r>
    </w:p>
    <w:p w14:paraId="07FAEA6C" w14:textId="77777777" w:rsidR="007F3DC4" w:rsidRPr="007F3DC4" w:rsidRDefault="007F3DC4" w:rsidP="00237410">
      <w:pPr>
        <w:numPr>
          <w:ilvl w:val="0"/>
          <w:numId w:val="1"/>
        </w:numPr>
        <w:spacing w:after="0"/>
        <w:rPr>
          <w:rFonts w:ascii="Cambria" w:hAnsi="Cambria"/>
          <w:sz w:val="20"/>
          <w:szCs w:val="20"/>
        </w:rPr>
      </w:pPr>
      <w:r w:rsidRPr="007F3DC4">
        <w:rPr>
          <w:rFonts w:ascii="Cambria" w:hAnsi="Cambria"/>
          <w:sz w:val="20"/>
          <w:szCs w:val="20"/>
        </w:rPr>
        <w:t>Backup systems and failover environments</w:t>
      </w:r>
    </w:p>
    <w:p w14:paraId="3FFFEF0D" w14:textId="4DCB6FFF" w:rsidR="007F3DC4" w:rsidRPr="007F3DC4" w:rsidRDefault="007F3DC4" w:rsidP="00237410">
      <w:pPr>
        <w:spacing w:after="0"/>
        <w:rPr>
          <w:rFonts w:ascii="Cambria" w:hAnsi="Cambria"/>
          <w:sz w:val="20"/>
          <w:szCs w:val="20"/>
        </w:rPr>
      </w:pPr>
    </w:p>
    <w:p w14:paraId="588299F1" w14:textId="77777777" w:rsidR="007F3DC4" w:rsidRPr="007F3DC4" w:rsidRDefault="007F3DC4" w:rsidP="00860E5E">
      <w:pPr>
        <w:spacing w:after="120"/>
        <w:rPr>
          <w:rFonts w:ascii="Cambria" w:hAnsi="Cambria"/>
          <w:b/>
          <w:bCs/>
          <w:sz w:val="22"/>
          <w:szCs w:val="22"/>
        </w:rPr>
      </w:pPr>
      <w:r w:rsidRPr="007F3DC4">
        <w:rPr>
          <w:rFonts w:ascii="Cambria" w:hAnsi="Cambria"/>
          <w:b/>
          <w:bCs/>
          <w:sz w:val="22"/>
          <w:szCs w:val="22"/>
        </w:rPr>
        <w:t>3. Policy Statements</w:t>
      </w:r>
    </w:p>
    <w:p w14:paraId="255892B0" w14:textId="77777777" w:rsidR="007F3DC4" w:rsidRPr="007F3DC4" w:rsidRDefault="007F3DC4" w:rsidP="00401D42">
      <w:pPr>
        <w:spacing w:after="120"/>
        <w:rPr>
          <w:rFonts w:ascii="Cambria" w:hAnsi="Cambria"/>
          <w:b/>
          <w:bCs/>
          <w:sz w:val="20"/>
          <w:szCs w:val="20"/>
        </w:rPr>
      </w:pPr>
      <w:r w:rsidRPr="007F3DC4">
        <w:rPr>
          <w:rFonts w:ascii="Cambria" w:hAnsi="Cambria"/>
          <w:b/>
          <w:bCs/>
          <w:sz w:val="20"/>
          <w:szCs w:val="20"/>
        </w:rPr>
        <w:t>3.1 Recovery Planning</w:t>
      </w:r>
    </w:p>
    <w:p w14:paraId="52001F23" w14:textId="77777777" w:rsidR="007F3DC4" w:rsidRPr="007F3DC4" w:rsidRDefault="007F3DC4" w:rsidP="00237410">
      <w:pPr>
        <w:numPr>
          <w:ilvl w:val="0"/>
          <w:numId w:val="2"/>
        </w:numPr>
        <w:spacing w:after="0"/>
        <w:rPr>
          <w:rFonts w:ascii="Cambria" w:hAnsi="Cambria"/>
          <w:sz w:val="20"/>
          <w:szCs w:val="20"/>
        </w:rPr>
      </w:pPr>
      <w:r w:rsidRPr="007F3DC4">
        <w:rPr>
          <w:rFonts w:ascii="Cambria" w:hAnsi="Cambria"/>
          <w:sz w:val="20"/>
          <w:szCs w:val="20"/>
        </w:rPr>
        <w:t xml:space="preserve">All critical systems must have documented Disaster Recovery Plans (DRPs) that outline roles, processes, and recovery steps. </w:t>
      </w:r>
      <w:r w:rsidRPr="007F3DC4">
        <w:rPr>
          <w:rFonts w:ascii="Cambria" w:hAnsi="Cambria"/>
          <w:i/>
          <w:iCs/>
          <w:sz w:val="20"/>
          <w:szCs w:val="20"/>
        </w:rPr>
        <w:t>(NIST CP-2; ISO 27001 A.5.30)</w:t>
      </w:r>
    </w:p>
    <w:p w14:paraId="69B75A34" w14:textId="77777777" w:rsidR="007F3DC4" w:rsidRPr="007F3DC4" w:rsidRDefault="007F3DC4" w:rsidP="00401D42">
      <w:pPr>
        <w:numPr>
          <w:ilvl w:val="0"/>
          <w:numId w:val="2"/>
        </w:numPr>
        <w:spacing w:after="120"/>
        <w:rPr>
          <w:rFonts w:ascii="Cambria" w:hAnsi="Cambria"/>
          <w:sz w:val="20"/>
          <w:szCs w:val="20"/>
        </w:rPr>
      </w:pPr>
      <w:r w:rsidRPr="007F3DC4">
        <w:rPr>
          <w:rFonts w:ascii="Cambria" w:hAnsi="Cambria"/>
          <w:sz w:val="20"/>
          <w:szCs w:val="20"/>
        </w:rPr>
        <w:t xml:space="preserve">DRPs must include defined Recovery Time Objectives (RTOs) and Recovery Point Objectives (RPOs) for each critical asset. </w:t>
      </w:r>
      <w:r w:rsidRPr="007F3DC4">
        <w:rPr>
          <w:rFonts w:ascii="Cambria" w:hAnsi="Cambria"/>
          <w:i/>
          <w:iCs/>
          <w:sz w:val="20"/>
          <w:szCs w:val="20"/>
        </w:rPr>
        <w:t>(NIST CP-4; ISO 27001 A.5.31)</w:t>
      </w:r>
    </w:p>
    <w:p w14:paraId="3A0C6A96" w14:textId="77777777" w:rsidR="007F3DC4" w:rsidRPr="007F3DC4" w:rsidRDefault="007F3DC4" w:rsidP="00401D42">
      <w:pPr>
        <w:spacing w:after="120"/>
        <w:rPr>
          <w:rFonts w:ascii="Cambria" w:hAnsi="Cambria"/>
          <w:b/>
          <w:bCs/>
          <w:sz w:val="20"/>
          <w:szCs w:val="20"/>
        </w:rPr>
      </w:pPr>
      <w:r w:rsidRPr="007F3DC4">
        <w:rPr>
          <w:rFonts w:ascii="Cambria" w:hAnsi="Cambria"/>
          <w:b/>
          <w:bCs/>
          <w:sz w:val="20"/>
          <w:szCs w:val="20"/>
        </w:rPr>
        <w:t>3.2 Data Backup and Restoration</w:t>
      </w:r>
    </w:p>
    <w:p w14:paraId="0961D356" w14:textId="77777777" w:rsidR="007F3DC4" w:rsidRPr="007F3DC4" w:rsidRDefault="007F3DC4" w:rsidP="00237410">
      <w:pPr>
        <w:numPr>
          <w:ilvl w:val="0"/>
          <w:numId w:val="3"/>
        </w:numPr>
        <w:spacing w:after="0"/>
        <w:rPr>
          <w:rFonts w:ascii="Cambria" w:hAnsi="Cambria"/>
          <w:sz w:val="20"/>
          <w:szCs w:val="20"/>
        </w:rPr>
      </w:pPr>
      <w:r w:rsidRPr="007F3DC4">
        <w:rPr>
          <w:rFonts w:ascii="Cambria" w:hAnsi="Cambria"/>
          <w:sz w:val="20"/>
          <w:szCs w:val="20"/>
        </w:rPr>
        <w:t xml:space="preserve">Systems and data classified as critical must be backed up regularly and stored in secure, geographically diverse locations. </w:t>
      </w:r>
      <w:r w:rsidRPr="007F3DC4">
        <w:rPr>
          <w:rFonts w:ascii="Cambria" w:hAnsi="Cambria"/>
          <w:i/>
          <w:iCs/>
          <w:sz w:val="20"/>
          <w:szCs w:val="20"/>
        </w:rPr>
        <w:t>(NIST CP-6, CP-9; ISO 27001 A.8.12, A.5.31)</w:t>
      </w:r>
    </w:p>
    <w:p w14:paraId="08F551BA" w14:textId="77777777" w:rsidR="007F3DC4" w:rsidRPr="007F3DC4" w:rsidRDefault="007F3DC4" w:rsidP="00401D42">
      <w:pPr>
        <w:numPr>
          <w:ilvl w:val="0"/>
          <w:numId w:val="3"/>
        </w:numPr>
        <w:spacing w:after="120"/>
        <w:rPr>
          <w:rFonts w:ascii="Cambria" w:hAnsi="Cambria"/>
          <w:sz w:val="20"/>
          <w:szCs w:val="20"/>
        </w:rPr>
      </w:pPr>
      <w:r w:rsidRPr="007F3DC4">
        <w:rPr>
          <w:rFonts w:ascii="Cambria" w:hAnsi="Cambria"/>
          <w:sz w:val="20"/>
          <w:szCs w:val="20"/>
        </w:rPr>
        <w:t xml:space="preserve">Backups must be encrypted, access-controlled, and tested periodically for integrity and restorability. </w:t>
      </w:r>
      <w:r w:rsidRPr="007F3DC4">
        <w:rPr>
          <w:rFonts w:ascii="Cambria" w:hAnsi="Cambria"/>
          <w:i/>
          <w:iCs/>
          <w:sz w:val="20"/>
          <w:szCs w:val="20"/>
        </w:rPr>
        <w:t>(NIST MP-5, CP-10; ISO 27001 A.5.14, A.8.12)</w:t>
      </w:r>
    </w:p>
    <w:p w14:paraId="464D0AFC" w14:textId="77777777" w:rsidR="007F3DC4" w:rsidRPr="007F3DC4" w:rsidRDefault="007F3DC4" w:rsidP="00401D42">
      <w:pPr>
        <w:spacing w:after="120"/>
        <w:rPr>
          <w:rFonts w:ascii="Cambria" w:hAnsi="Cambria"/>
          <w:b/>
          <w:bCs/>
          <w:sz w:val="20"/>
          <w:szCs w:val="20"/>
        </w:rPr>
      </w:pPr>
      <w:r w:rsidRPr="007F3DC4">
        <w:rPr>
          <w:rFonts w:ascii="Cambria" w:hAnsi="Cambria"/>
          <w:b/>
          <w:bCs/>
          <w:sz w:val="20"/>
          <w:szCs w:val="20"/>
        </w:rPr>
        <w:t>3.3 Roles and Responsibilities</w:t>
      </w:r>
    </w:p>
    <w:p w14:paraId="14AB4B27" w14:textId="77777777" w:rsidR="007F3DC4" w:rsidRPr="007F3DC4" w:rsidRDefault="007F3DC4" w:rsidP="00237410">
      <w:pPr>
        <w:numPr>
          <w:ilvl w:val="0"/>
          <w:numId w:val="4"/>
        </w:numPr>
        <w:spacing w:after="0"/>
        <w:rPr>
          <w:rFonts w:ascii="Cambria" w:hAnsi="Cambria"/>
          <w:sz w:val="20"/>
          <w:szCs w:val="20"/>
        </w:rPr>
      </w:pPr>
      <w:r w:rsidRPr="007F3DC4">
        <w:rPr>
          <w:rFonts w:ascii="Cambria" w:hAnsi="Cambria"/>
          <w:sz w:val="20"/>
          <w:szCs w:val="20"/>
        </w:rPr>
        <w:t xml:space="preserve">Disaster Recovery roles and contact information must be documented and updated regularly. </w:t>
      </w:r>
      <w:r w:rsidRPr="007F3DC4">
        <w:rPr>
          <w:rFonts w:ascii="Cambria" w:hAnsi="Cambria"/>
          <w:i/>
          <w:iCs/>
          <w:sz w:val="20"/>
          <w:szCs w:val="20"/>
        </w:rPr>
        <w:t>(NIST CP-3; ISO 27001 A.5.30)</w:t>
      </w:r>
    </w:p>
    <w:p w14:paraId="0A6ED656" w14:textId="77777777" w:rsidR="007F3DC4" w:rsidRPr="007F3DC4" w:rsidRDefault="007F3DC4" w:rsidP="00401D42">
      <w:pPr>
        <w:numPr>
          <w:ilvl w:val="0"/>
          <w:numId w:val="4"/>
        </w:numPr>
        <w:spacing w:after="120"/>
        <w:rPr>
          <w:rFonts w:ascii="Cambria" w:hAnsi="Cambria"/>
          <w:sz w:val="20"/>
          <w:szCs w:val="20"/>
        </w:rPr>
      </w:pPr>
      <w:r w:rsidRPr="007F3DC4">
        <w:rPr>
          <w:rFonts w:ascii="Cambria" w:hAnsi="Cambria"/>
          <w:sz w:val="20"/>
          <w:szCs w:val="20"/>
        </w:rPr>
        <w:t xml:space="preserve">Designated recovery personnel must be trained and available to support plan execution during declared disasters. </w:t>
      </w:r>
      <w:r w:rsidRPr="007F3DC4">
        <w:rPr>
          <w:rFonts w:ascii="Cambria" w:hAnsi="Cambria"/>
          <w:i/>
          <w:iCs/>
          <w:sz w:val="20"/>
          <w:szCs w:val="20"/>
        </w:rPr>
        <w:t>(NIST AT-3; ISO 27001 A.6.3)</w:t>
      </w:r>
    </w:p>
    <w:p w14:paraId="0E7C51C6" w14:textId="77777777" w:rsidR="0056664B" w:rsidRDefault="0056664B" w:rsidP="00401D42">
      <w:pPr>
        <w:spacing w:after="120"/>
        <w:rPr>
          <w:rFonts w:ascii="Cambria" w:hAnsi="Cambria"/>
          <w:b/>
          <w:bCs/>
          <w:sz w:val="20"/>
          <w:szCs w:val="20"/>
        </w:rPr>
      </w:pPr>
    </w:p>
    <w:p w14:paraId="57FB3ADC" w14:textId="77777777" w:rsidR="0056664B" w:rsidRDefault="0056664B" w:rsidP="00401D42">
      <w:pPr>
        <w:spacing w:after="120"/>
        <w:rPr>
          <w:rFonts w:ascii="Cambria" w:hAnsi="Cambria"/>
          <w:b/>
          <w:bCs/>
          <w:sz w:val="20"/>
          <w:szCs w:val="20"/>
        </w:rPr>
      </w:pPr>
    </w:p>
    <w:p w14:paraId="59215970" w14:textId="5259BED8" w:rsidR="007F3DC4" w:rsidRPr="007F3DC4" w:rsidRDefault="007F3DC4" w:rsidP="00401D42">
      <w:pPr>
        <w:spacing w:after="120"/>
        <w:rPr>
          <w:rFonts w:ascii="Cambria" w:hAnsi="Cambria"/>
          <w:b/>
          <w:bCs/>
          <w:sz w:val="20"/>
          <w:szCs w:val="20"/>
        </w:rPr>
      </w:pPr>
      <w:r w:rsidRPr="007F3DC4">
        <w:rPr>
          <w:rFonts w:ascii="Cambria" w:hAnsi="Cambria"/>
          <w:b/>
          <w:bCs/>
          <w:sz w:val="20"/>
          <w:szCs w:val="20"/>
        </w:rPr>
        <w:lastRenderedPageBreak/>
        <w:t>3.4 Testing and Exercises</w:t>
      </w:r>
    </w:p>
    <w:p w14:paraId="6F71005E" w14:textId="77777777" w:rsidR="007F3DC4" w:rsidRPr="007F3DC4" w:rsidRDefault="007F3DC4" w:rsidP="00237410">
      <w:pPr>
        <w:numPr>
          <w:ilvl w:val="0"/>
          <w:numId w:val="5"/>
        </w:numPr>
        <w:spacing w:after="0"/>
        <w:rPr>
          <w:rFonts w:ascii="Cambria" w:hAnsi="Cambria"/>
          <w:sz w:val="20"/>
          <w:szCs w:val="20"/>
        </w:rPr>
      </w:pPr>
      <w:r w:rsidRPr="007F3DC4">
        <w:rPr>
          <w:rFonts w:ascii="Cambria" w:hAnsi="Cambria"/>
          <w:sz w:val="20"/>
          <w:szCs w:val="20"/>
        </w:rPr>
        <w:t xml:space="preserve">All DRPs must be tested at least annually using tabletop, simulation, or failover exercises. </w:t>
      </w:r>
      <w:r w:rsidRPr="007F3DC4">
        <w:rPr>
          <w:rFonts w:ascii="Cambria" w:hAnsi="Cambria"/>
          <w:i/>
          <w:iCs/>
          <w:sz w:val="20"/>
          <w:szCs w:val="20"/>
        </w:rPr>
        <w:t>(NIST CP-4; ISO 27001 A.5.31)</w:t>
      </w:r>
    </w:p>
    <w:p w14:paraId="5D27F874" w14:textId="77777777" w:rsidR="007F3DC4" w:rsidRPr="007F3DC4" w:rsidRDefault="007F3DC4" w:rsidP="006968A5">
      <w:pPr>
        <w:numPr>
          <w:ilvl w:val="0"/>
          <w:numId w:val="5"/>
        </w:numPr>
        <w:spacing w:after="120"/>
        <w:rPr>
          <w:rFonts w:ascii="Cambria" w:hAnsi="Cambria"/>
          <w:sz w:val="20"/>
          <w:szCs w:val="20"/>
        </w:rPr>
      </w:pPr>
      <w:r w:rsidRPr="007F3DC4">
        <w:rPr>
          <w:rFonts w:ascii="Cambria" w:hAnsi="Cambria"/>
          <w:sz w:val="20"/>
          <w:szCs w:val="20"/>
        </w:rPr>
        <w:t xml:space="preserve">Lessons learned from exercises must be documented and used to improve DRPs. </w:t>
      </w:r>
      <w:r w:rsidRPr="007F3DC4">
        <w:rPr>
          <w:rFonts w:ascii="Cambria" w:hAnsi="Cambria"/>
          <w:i/>
          <w:iCs/>
          <w:sz w:val="20"/>
          <w:szCs w:val="20"/>
        </w:rPr>
        <w:t>(NIST CP-2(3); ISO 27001 A.5.26)</w:t>
      </w:r>
    </w:p>
    <w:p w14:paraId="61735FF7" w14:textId="77777777" w:rsidR="007F3DC4" w:rsidRPr="007F3DC4" w:rsidRDefault="007F3DC4" w:rsidP="006968A5">
      <w:pPr>
        <w:spacing w:after="120"/>
        <w:rPr>
          <w:rFonts w:ascii="Cambria" w:hAnsi="Cambria"/>
          <w:b/>
          <w:bCs/>
          <w:sz w:val="20"/>
          <w:szCs w:val="20"/>
        </w:rPr>
      </w:pPr>
      <w:r w:rsidRPr="007F3DC4">
        <w:rPr>
          <w:rFonts w:ascii="Cambria" w:hAnsi="Cambria"/>
          <w:b/>
          <w:bCs/>
          <w:sz w:val="20"/>
          <w:szCs w:val="20"/>
        </w:rPr>
        <w:t>3.5 Communication and Notification</w:t>
      </w:r>
    </w:p>
    <w:p w14:paraId="2235812A" w14:textId="77777777" w:rsidR="007F3DC4" w:rsidRPr="007F3DC4" w:rsidRDefault="007F3DC4" w:rsidP="00237410">
      <w:pPr>
        <w:numPr>
          <w:ilvl w:val="0"/>
          <w:numId w:val="6"/>
        </w:numPr>
        <w:spacing w:after="0"/>
        <w:rPr>
          <w:rFonts w:ascii="Cambria" w:hAnsi="Cambria"/>
          <w:sz w:val="20"/>
          <w:szCs w:val="20"/>
        </w:rPr>
      </w:pPr>
      <w:r w:rsidRPr="007F3DC4">
        <w:rPr>
          <w:rFonts w:ascii="Cambria" w:hAnsi="Cambria"/>
          <w:sz w:val="20"/>
          <w:szCs w:val="20"/>
        </w:rPr>
        <w:t xml:space="preserve">Recovery plans must include documented internal and external communication procedures. </w:t>
      </w:r>
      <w:r w:rsidRPr="007F3DC4">
        <w:rPr>
          <w:rFonts w:ascii="Cambria" w:hAnsi="Cambria"/>
          <w:i/>
          <w:iCs/>
          <w:sz w:val="20"/>
          <w:szCs w:val="20"/>
        </w:rPr>
        <w:t>(NIST IR-4, CP-2; ISO 27001 A.5.25, A.5.30)</w:t>
      </w:r>
    </w:p>
    <w:p w14:paraId="79A8FA73" w14:textId="77777777" w:rsidR="007F3DC4" w:rsidRPr="007F3DC4" w:rsidRDefault="007F3DC4" w:rsidP="00237410">
      <w:pPr>
        <w:numPr>
          <w:ilvl w:val="0"/>
          <w:numId w:val="6"/>
        </w:numPr>
        <w:spacing w:after="0"/>
        <w:rPr>
          <w:rFonts w:ascii="Cambria" w:hAnsi="Cambria"/>
          <w:sz w:val="20"/>
          <w:szCs w:val="20"/>
        </w:rPr>
      </w:pPr>
      <w:r w:rsidRPr="007F3DC4">
        <w:rPr>
          <w:rFonts w:ascii="Cambria" w:hAnsi="Cambria"/>
          <w:sz w:val="20"/>
          <w:szCs w:val="20"/>
        </w:rPr>
        <w:t xml:space="preserve">Regulatory bodies, customers, and vendors must be notified in accordance with contractual and legal obligations during major outages. </w:t>
      </w:r>
      <w:r w:rsidRPr="007F3DC4">
        <w:rPr>
          <w:rFonts w:ascii="Cambria" w:hAnsi="Cambria"/>
          <w:i/>
          <w:iCs/>
          <w:sz w:val="20"/>
          <w:szCs w:val="20"/>
        </w:rPr>
        <w:t>(NIST IR-6; ISO 27001 A.5.25)</w:t>
      </w:r>
    </w:p>
    <w:p w14:paraId="629D17F1" w14:textId="1094594A" w:rsidR="007F3DC4" w:rsidRPr="007F3DC4" w:rsidRDefault="007F3DC4" w:rsidP="00237410">
      <w:pPr>
        <w:spacing w:after="0"/>
        <w:rPr>
          <w:rFonts w:ascii="Cambria" w:hAnsi="Cambria"/>
          <w:sz w:val="20"/>
          <w:szCs w:val="20"/>
        </w:rPr>
      </w:pPr>
    </w:p>
    <w:p w14:paraId="3FAC76A8" w14:textId="77777777" w:rsidR="007F3DC4" w:rsidRPr="007F3DC4" w:rsidRDefault="007F3DC4" w:rsidP="006968A5">
      <w:pPr>
        <w:spacing w:after="120"/>
        <w:rPr>
          <w:rFonts w:ascii="Cambria" w:hAnsi="Cambria"/>
          <w:b/>
          <w:bCs/>
          <w:sz w:val="22"/>
          <w:szCs w:val="22"/>
        </w:rPr>
      </w:pPr>
      <w:r w:rsidRPr="007F3DC4">
        <w:rPr>
          <w:rFonts w:ascii="Cambria" w:hAnsi="Cambria"/>
          <w:b/>
          <w:bCs/>
          <w:sz w:val="22"/>
          <w:szCs w:val="22"/>
        </w:rPr>
        <w:t>4. Roles and Responsibilities</w:t>
      </w:r>
    </w:p>
    <w:p w14:paraId="26354B59" w14:textId="77777777" w:rsidR="008E7F98" w:rsidRPr="008E7F98" w:rsidRDefault="008E7F98" w:rsidP="00237410">
      <w:pPr>
        <w:spacing w:after="0"/>
        <w:rPr>
          <w:rFonts w:ascii="Cambria" w:hAnsi="Cambria"/>
          <w:vanish/>
          <w:sz w:val="20"/>
          <w:szCs w:val="20"/>
        </w:rPr>
      </w:pPr>
    </w:p>
    <w:tbl>
      <w:tblPr>
        <w:tblW w:w="94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7290"/>
      </w:tblGrid>
      <w:tr w:rsidR="008E7F98" w:rsidRPr="008E7F98" w14:paraId="00297887" w14:textId="77777777" w:rsidTr="00097096">
        <w:trPr>
          <w:trHeight w:val="504"/>
          <w:tblCellSpacing w:w="15" w:type="dxa"/>
        </w:trPr>
        <w:tc>
          <w:tcPr>
            <w:tcW w:w="2115" w:type="dxa"/>
            <w:hideMark/>
          </w:tcPr>
          <w:p w14:paraId="65986701" w14:textId="77777777" w:rsidR="008E7F98" w:rsidRPr="008E7F98" w:rsidRDefault="008E7F98" w:rsidP="00237410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8E7F98">
              <w:rPr>
                <w:rFonts w:ascii="Cambria" w:hAnsi="Cambria"/>
                <w:b/>
                <w:bCs/>
                <w:sz w:val="20"/>
                <w:szCs w:val="20"/>
              </w:rPr>
              <w:t>CISO</w:t>
            </w:r>
          </w:p>
        </w:tc>
        <w:tc>
          <w:tcPr>
            <w:tcW w:w="7245" w:type="dxa"/>
            <w:hideMark/>
          </w:tcPr>
          <w:p w14:paraId="22B47642" w14:textId="77777777" w:rsidR="008E7F98" w:rsidRPr="008E7F98" w:rsidRDefault="008E7F98" w:rsidP="00237410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8E7F98">
              <w:rPr>
                <w:rFonts w:ascii="Cambria" w:hAnsi="Cambria"/>
                <w:sz w:val="20"/>
                <w:szCs w:val="20"/>
              </w:rPr>
              <w:t>Owns the DRP; ensures alignment with risk management, compliance, and executive oversight.</w:t>
            </w:r>
          </w:p>
        </w:tc>
      </w:tr>
      <w:tr w:rsidR="008E7F98" w:rsidRPr="008E7F98" w14:paraId="0E43415B" w14:textId="77777777" w:rsidTr="00097096">
        <w:trPr>
          <w:trHeight w:val="144"/>
          <w:tblCellSpacing w:w="15" w:type="dxa"/>
        </w:trPr>
        <w:tc>
          <w:tcPr>
            <w:tcW w:w="2115" w:type="dxa"/>
          </w:tcPr>
          <w:p w14:paraId="01B4EA21" w14:textId="34530B2D" w:rsidR="008E7F98" w:rsidRPr="008E7F98" w:rsidRDefault="008E7F98" w:rsidP="00237410">
            <w:pPr>
              <w:spacing w:after="0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8E7F98">
              <w:rPr>
                <w:rFonts w:ascii="Cambria" w:hAnsi="Cambria"/>
                <w:b/>
                <w:bCs/>
                <w:sz w:val="20"/>
                <w:szCs w:val="20"/>
              </w:rPr>
              <w:t>Disaster Recovery Manager (DRM)</w:t>
            </w:r>
          </w:p>
        </w:tc>
        <w:tc>
          <w:tcPr>
            <w:tcW w:w="7245" w:type="dxa"/>
          </w:tcPr>
          <w:p w14:paraId="1486B10F" w14:textId="671F6CFE" w:rsidR="008E7F98" w:rsidRPr="008E7F98" w:rsidRDefault="008E7F98" w:rsidP="00237410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8E7F98">
              <w:rPr>
                <w:rFonts w:ascii="Cambria" w:hAnsi="Cambria"/>
                <w:sz w:val="20"/>
                <w:szCs w:val="20"/>
              </w:rPr>
              <w:t>Coordinates the activation, execution, and deactivation of the DRP. Maintains DR documentation and test schedules.</w:t>
            </w:r>
          </w:p>
        </w:tc>
      </w:tr>
      <w:tr w:rsidR="008E7F98" w:rsidRPr="008E7F98" w14:paraId="273BF0C5" w14:textId="77777777" w:rsidTr="00097096">
        <w:trPr>
          <w:trHeight w:val="144"/>
          <w:tblCellSpacing w:w="15" w:type="dxa"/>
        </w:trPr>
        <w:tc>
          <w:tcPr>
            <w:tcW w:w="2115" w:type="dxa"/>
          </w:tcPr>
          <w:p w14:paraId="720DF8DA" w14:textId="5C6EDAAD" w:rsidR="008E7F98" w:rsidRPr="008E7F98" w:rsidRDefault="008E7F98" w:rsidP="00237410">
            <w:pPr>
              <w:spacing w:after="0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8E7F98">
              <w:rPr>
                <w:rFonts w:ascii="Cambria" w:hAnsi="Cambria"/>
                <w:b/>
                <w:bCs/>
                <w:sz w:val="20"/>
                <w:szCs w:val="20"/>
              </w:rPr>
              <w:t>IT Infrastructure Team</w:t>
            </w:r>
          </w:p>
        </w:tc>
        <w:tc>
          <w:tcPr>
            <w:tcW w:w="7245" w:type="dxa"/>
          </w:tcPr>
          <w:p w14:paraId="1D10C400" w14:textId="0E1A4CE9" w:rsidR="008E7F98" w:rsidRPr="008E7F98" w:rsidRDefault="008E7F98" w:rsidP="00237410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8E7F98">
              <w:rPr>
                <w:rFonts w:ascii="Cambria" w:hAnsi="Cambria"/>
                <w:sz w:val="20"/>
                <w:szCs w:val="20"/>
              </w:rPr>
              <w:t>Ensures recovery of networks, systems, and core infrastructure. Maintains backup systems and failover readiness.</w:t>
            </w:r>
          </w:p>
        </w:tc>
      </w:tr>
      <w:tr w:rsidR="008E7F98" w:rsidRPr="008E7F98" w14:paraId="37AF7E63" w14:textId="77777777" w:rsidTr="00097096">
        <w:trPr>
          <w:trHeight w:val="144"/>
          <w:tblCellSpacing w:w="15" w:type="dxa"/>
        </w:trPr>
        <w:tc>
          <w:tcPr>
            <w:tcW w:w="2115" w:type="dxa"/>
          </w:tcPr>
          <w:p w14:paraId="710B39EC" w14:textId="48A82EC0" w:rsidR="008E7F98" w:rsidRPr="008E7F98" w:rsidRDefault="008E7F98" w:rsidP="00237410">
            <w:pPr>
              <w:spacing w:after="0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8E7F98">
              <w:rPr>
                <w:rFonts w:ascii="Cambria" w:hAnsi="Cambria"/>
                <w:b/>
                <w:bCs/>
                <w:sz w:val="20"/>
                <w:szCs w:val="20"/>
              </w:rPr>
              <w:t>Application Owners</w:t>
            </w:r>
          </w:p>
        </w:tc>
        <w:tc>
          <w:tcPr>
            <w:tcW w:w="7245" w:type="dxa"/>
          </w:tcPr>
          <w:p w14:paraId="56B9F9C2" w14:textId="6680F317" w:rsidR="008E7F98" w:rsidRPr="008E7F98" w:rsidRDefault="008E7F98" w:rsidP="00237410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8E7F98">
              <w:rPr>
                <w:rFonts w:ascii="Cambria" w:hAnsi="Cambria"/>
                <w:sz w:val="20"/>
                <w:szCs w:val="20"/>
              </w:rPr>
              <w:t>Document application-specific DR procedures and validate post-recovery functionality.</w:t>
            </w:r>
          </w:p>
        </w:tc>
      </w:tr>
      <w:tr w:rsidR="008E7F98" w:rsidRPr="008E7F98" w14:paraId="70BA40A4" w14:textId="77777777" w:rsidTr="00097096">
        <w:trPr>
          <w:trHeight w:val="144"/>
          <w:tblCellSpacing w:w="15" w:type="dxa"/>
        </w:trPr>
        <w:tc>
          <w:tcPr>
            <w:tcW w:w="2115" w:type="dxa"/>
          </w:tcPr>
          <w:p w14:paraId="38232279" w14:textId="5E6C0FA3" w:rsidR="008E7F98" w:rsidRPr="008E7F98" w:rsidRDefault="008E7F98" w:rsidP="00237410">
            <w:pPr>
              <w:spacing w:after="0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8E7F98">
              <w:rPr>
                <w:rFonts w:ascii="Cambria" w:hAnsi="Cambria"/>
                <w:b/>
                <w:bCs/>
                <w:sz w:val="20"/>
                <w:szCs w:val="20"/>
              </w:rPr>
              <w:t>Data Protection Officer</w:t>
            </w:r>
          </w:p>
        </w:tc>
        <w:tc>
          <w:tcPr>
            <w:tcW w:w="7245" w:type="dxa"/>
          </w:tcPr>
          <w:p w14:paraId="36EE5832" w14:textId="0523544C" w:rsidR="008E7F98" w:rsidRPr="008E7F98" w:rsidRDefault="008E7F98" w:rsidP="00237410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8E7F98">
              <w:rPr>
                <w:rFonts w:ascii="Cambria" w:hAnsi="Cambria"/>
                <w:sz w:val="20"/>
                <w:szCs w:val="20"/>
              </w:rPr>
              <w:t xml:space="preserve">Ensures backup policies are enforced; </w:t>
            </w:r>
            <w:proofErr w:type="gramStart"/>
            <w:r w:rsidRPr="008E7F98">
              <w:rPr>
                <w:rFonts w:ascii="Cambria" w:hAnsi="Cambria"/>
                <w:sz w:val="20"/>
                <w:szCs w:val="20"/>
              </w:rPr>
              <w:t>verifies</w:t>
            </w:r>
            <w:proofErr w:type="gramEnd"/>
            <w:r w:rsidRPr="008E7F98">
              <w:rPr>
                <w:rFonts w:ascii="Cambria" w:hAnsi="Cambria"/>
                <w:sz w:val="20"/>
                <w:szCs w:val="20"/>
              </w:rPr>
              <w:t xml:space="preserve"> integrity and restorability of backup data.</w:t>
            </w:r>
          </w:p>
        </w:tc>
      </w:tr>
      <w:tr w:rsidR="008E7F98" w:rsidRPr="008E7F98" w14:paraId="31EFDF23" w14:textId="77777777" w:rsidTr="00097096">
        <w:trPr>
          <w:trHeight w:val="144"/>
          <w:tblCellSpacing w:w="15" w:type="dxa"/>
        </w:trPr>
        <w:tc>
          <w:tcPr>
            <w:tcW w:w="2115" w:type="dxa"/>
          </w:tcPr>
          <w:p w14:paraId="3B8D613C" w14:textId="2E5FAF48" w:rsidR="008E7F98" w:rsidRPr="008E7F98" w:rsidRDefault="008E7F98" w:rsidP="00237410">
            <w:pPr>
              <w:spacing w:after="0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8E7F98">
              <w:rPr>
                <w:rFonts w:ascii="Cambria" w:hAnsi="Cambria"/>
                <w:b/>
                <w:bCs/>
                <w:sz w:val="20"/>
                <w:szCs w:val="20"/>
              </w:rPr>
              <w:t>Business Continuity Lead</w:t>
            </w:r>
          </w:p>
        </w:tc>
        <w:tc>
          <w:tcPr>
            <w:tcW w:w="7245" w:type="dxa"/>
          </w:tcPr>
          <w:p w14:paraId="39D816CF" w14:textId="0F04A6D2" w:rsidR="008E7F98" w:rsidRPr="008E7F98" w:rsidRDefault="008E7F98" w:rsidP="00237410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8E7F98">
              <w:rPr>
                <w:rFonts w:ascii="Cambria" w:hAnsi="Cambria"/>
                <w:sz w:val="20"/>
                <w:szCs w:val="20"/>
              </w:rPr>
              <w:t>Ensures DRP alignment with Business Continuity Plans (BCP) and assists with business process restoration.</w:t>
            </w:r>
          </w:p>
        </w:tc>
      </w:tr>
      <w:tr w:rsidR="008E7F98" w:rsidRPr="008E7F98" w14:paraId="4FCA0AA3" w14:textId="77777777" w:rsidTr="00097096">
        <w:trPr>
          <w:trHeight w:val="144"/>
          <w:tblCellSpacing w:w="15" w:type="dxa"/>
        </w:trPr>
        <w:tc>
          <w:tcPr>
            <w:tcW w:w="2115" w:type="dxa"/>
          </w:tcPr>
          <w:p w14:paraId="12B8062B" w14:textId="5072B949" w:rsidR="008E7F98" w:rsidRPr="008E7F98" w:rsidRDefault="008E7F98" w:rsidP="00237410">
            <w:pPr>
              <w:spacing w:after="0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8E7F98">
              <w:rPr>
                <w:rFonts w:ascii="Cambria" w:hAnsi="Cambria"/>
                <w:b/>
                <w:bCs/>
                <w:sz w:val="20"/>
                <w:szCs w:val="20"/>
              </w:rPr>
              <w:t>Compliance/Legal Team</w:t>
            </w:r>
          </w:p>
        </w:tc>
        <w:tc>
          <w:tcPr>
            <w:tcW w:w="7245" w:type="dxa"/>
          </w:tcPr>
          <w:p w14:paraId="38D14828" w14:textId="32892BFC" w:rsidR="008E7F98" w:rsidRPr="008E7F98" w:rsidRDefault="008E7F98" w:rsidP="00237410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8E7F98">
              <w:rPr>
                <w:rFonts w:ascii="Cambria" w:hAnsi="Cambria"/>
                <w:sz w:val="20"/>
                <w:szCs w:val="20"/>
              </w:rPr>
              <w:t>Reviews DR documentation and ensures notification obligations (e.g., GDPR, HIPAA, CCPA) are met.</w:t>
            </w:r>
          </w:p>
        </w:tc>
      </w:tr>
      <w:tr w:rsidR="008E7F98" w:rsidRPr="008E7F98" w14:paraId="3E240422" w14:textId="77777777" w:rsidTr="00097096">
        <w:trPr>
          <w:trHeight w:val="144"/>
          <w:tblCellSpacing w:w="15" w:type="dxa"/>
        </w:trPr>
        <w:tc>
          <w:tcPr>
            <w:tcW w:w="2115" w:type="dxa"/>
          </w:tcPr>
          <w:p w14:paraId="08FA5AC4" w14:textId="31A6CE45" w:rsidR="008E7F98" w:rsidRPr="008E7F98" w:rsidRDefault="008E7F98" w:rsidP="00237410">
            <w:pPr>
              <w:spacing w:after="0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8E7F98">
              <w:rPr>
                <w:rFonts w:ascii="Cambria" w:hAnsi="Cambria"/>
                <w:b/>
                <w:bCs/>
                <w:sz w:val="20"/>
                <w:szCs w:val="20"/>
              </w:rPr>
              <w:t xml:space="preserve">Executive </w:t>
            </w:r>
            <w:r w:rsidR="005D3AFE">
              <w:rPr>
                <w:rFonts w:ascii="Cambria" w:hAnsi="Cambria"/>
                <w:b/>
                <w:bCs/>
                <w:sz w:val="20"/>
                <w:szCs w:val="20"/>
              </w:rPr>
              <w:t>Team</w:t>
            </w:r>
          </w:p>
        </w:tc>
        <w:tc>
          <w:tcPr>
            <w:tcW w:w="7245" w:type="dxa"/>
          </w:tcPr>
          <w:p w14:paraId="0778BE2A" w14:textId="2E049C49" w:rsidR="008E7F98" w:rsidRPr="008E7F98" w:rsidRDefault="008E7F98" w:rsidP="00237410">
            <w:pPr>
              <w:spacing w:after="0"/>
              <w:rPr>
                <w:rFonts w:ascii="Cambria" w:hAnsi="Cambria"/>
                <w:sz w:val="20"/>
                <w:szCs w:val="20"/>
              </w:rPr>
            </w:pPr>
            <w:r w:rsidRPr="008E7F98">
              <w:rPr>
                <w:rFonts w:ascii="Cambria" w:hAnsi="Cambria"/>
                <w:sz w:val="20"/>
                <w:szCs w:val="20"/>
              </w:rPr>
              <w:t>Approves DR strategy and provides funding and authority for execution and escalation.</w:t>
            </w:r>
          </w:p>
        </w:tc>
      </w:tr>
    </w:tbl>
    <w:p w14:paraId="52018F82" w14:textId="77777777" w:rsidR="008E7F98" w:rsidRPr="008E7F98" w:rsidRDefault="008E7F98" w:rsidP="00237410">
      <w:pPr>
        <w:spacing w:after="0"/>
        <w:rPr>
          <w:rFonts w:ascii="Cambria" w:hAnsi="Cambria"/>
          <w:vanish/>
          <w:sz w:val="20"/>
          <w:szCs w:val="20"/>
        </w:rPr>
      </w:pPr>
    </w:p>
    <w:p w14:paraId="0C070392" w14:textId="77777777" w:rsidR="008E7F98" w:rsidRPr="008E7F98" w:rsidRDefault="008E7F98" w:rsidP="00237410">
      <w:pPr>
        <w:spacing w:after="0"/>
        <w:rPr>
          <w:rFonts w:ascii="Cambria" w:hAnsi="Cambria"/>
          <w:vanish/>
          <w:sz w:val="20"/>
          <w:szCs w:val="20"/>
        </w:rPr>
      </w:pPr>
    </w:p>
    <w:p w14:paraId="5D755A90" w14:textId="77777777" w:rsidR="008E7F98" w:rsidRPr="008E7F98" w:rsidRDefault="008E7F98" w:rsidP="00237410">
      <w:pPr>
        <w:spacing w:after="0"/>
        <w:rPr>
          <w:rFonts w:ascii="Cambria" w:hAnsi="Cambria"/>
          <w:vanish/>
          <w:sz w:val="20"/>
          <w:szCs w:val="20"/>
        </w:rPr>
      </w:pPr>
    </w:p>
    <w:p w14:paraId="5A436755" w14:textId="77777777" w:rsidR="008E7F98" w:rsidRPr="008E7F98" w:rsidRDefault="008E7F98" w:rsidP="00237410">
      <w:pPr>
        <w:spacing w:after="0"/>
        <w:rPr>
          <w:rFonts w:ascii="Cambria" w:hAnsi="Cambria"/>
          <w:vanish/>
          <w:sz w:val="20"/>
          <w:szCs w:val="20"/>
        </w:rPr>
      </w:pPr>
    </w:p>
    <w:p w14:paraId="4391E22B" w14:textId="77777777" w:rsidR="008E7F98" w:rsidRPr="008E7F98" w:rsidRDefault="008E7F98" w:rsidP="00237410">
      <w:pPr>
        <w:spacing w:after="0"/>
        <w:rPr>
          <w:rFonts w:ascii="Cambria" w:hAnsi="Cambria"/>
          <w:vanish/>
          <w:sz w:val="20"/>
          <w:szCs w:val="20"/>
        </w:rPr>
      </w:pPr>
    </w:p>
    <w:p w14:paraId="503B5845" w14:textId="77777777" w:rsidR="008E7F98" w:rsidRPr="008E7F98" w:rsidRDefault="008E7F98" w:rsidP="00237410">
      <w:pPr>
        <w:spacing w:after="0"/>
        <w:rPr>
          <w:rFonts w:ascii="Cambria" w:hAnsi="Cambria"/>
          <w:vanish/>
          <w:sz w:val="20"/>
          <w:szCs w:val="20"/>
        </w:rPr>
      </w:pPr>
    </w:p>
    <w:p w14:paraId="65C12E2D" w14:textId="77777777" w:rsidR="008E7F98" w:rsidRPr="008E7F98" w:rsidRDefault="008E7F98" w:rsidP="00237410">
      <w:pPr>
        <w:spacing w:after="0"/>
        <w:rPr>
          <w:rFonts w:ascii="Cambria" w:hAnsi="Cambria"/>
          <w:vanish/>
          <w:sz w:val="20"/>
          <w:szCs w:val="20"/>
        </w:rPr>
      </w:pPr>
    </w:p>
    <w:p w14:paraId="26F65F44" w14:textId="26322295" w:rsidR="007F3DC4" w:rsidRPr="007F3DC4" w:rsidRDefault="007F3DC4" w:rsidP="00237410">
      <w:pPr>
        <w:spacing w:after="0"/>
        <w:rPr>
          <w:rFonts w:ascii="Cambria" w:hAnsi="Cambria"/>
          <w:sz w:val="20"/>
          <w:szCs w:val="20"/>
        </w:rPr>
      </w:pPr>
    </w:p>
    <w:p w14:paraId="54B186F3" w14:textId="77777777" w:rsidR="007F3DC4" w:rsidRPr="007F3DC4" w:rsidRDefault="007F3DC4" w:rsidP="006968A5">
      <w:pPr>
        <w:spacing w:after="120"/>
        <w:rPr>
          <w:rFonts w:ascii="Cambria" w:hAnsi="Cambria"/>
          <w:b/>
          <w:bCs/>
          <w:sz w:val="22"/>
          <w:szCs w:val="22"/>
        </w:rPr>
      </w:pPr>
      <w:r w:rsidRPr="007F3DC4">
        <w:rPr>
          <w:rFonts w:ascii="Cambria" w:hAnsi="Cambria"/>
          <w:b/>
          <w:bCs/>
          <w:sz w:val="22"/>
          <w:szCs w:val="22"/>
        </w:rPr>
        <w:t>5. Compliance and Enforcement</w:t>
      </w:r>
    </w:p>
    <w:p w14:paraId="3992EA8D" w14:textId="77777777" w:rsidR="007F3DC4" w:rsidRPr="007F3DC4" w:rsidRDefault="007F3DC4" w:rsidP="00237410">
      <w:pPr>
        <w:spacing w:after="0"/>
        <w:rPr>
          <w:rFonts w:ascii="Cambria" w:hAnsi="Cambria"/>
          <w:sz w:val="20"/>
          <w:szCs w:val="20"/>
        </w:rPr>
      </w:pPr>
      <w:r w:rsidRPr="007F3DC4">
        <w:rPr>
          <w:rFonts w:ascii="Cambria" w:hAnsi="Cambria"/>
          <w:sz w:val="20"/>
          <w:szCs w:val="20"/>
        </w:rPr>
        <w:t>Noncompliance with this policy may lead to extended downtime, data loss, legal penalties, and reputational harm. All staff involved in recovery operations must adhere strictly to documented DRPs.</w:t>
      </w:r>
    </w:p>
    <w:p w14:paraId="543CE7A2" w14:textId="6C657888" w:rsidR="007F3DC4" w:rsidRPr="007F3DC4" w:rsidRDefault="007F3DC4" w:rsidP="00237410">
      <w:pPr>
        <w:spacing w:after="0"/>
        <w:rPr>
          <w:rFonts w:ascii="Cambria" w:hAnsi="Cambria"/>
          <w:sz w:val="20"/>
          <w:szCs w:val="20"/>
        </w:rPr>
      </w:pPr>
    </w:p>
    <w:p w14:paraId="3F8F0579" w14:textId="77777777" w:rsidR="007F3DC4" w:rsidRPr="007F3DC4" w:rsidRDefault="007F3DC4" w:rsidP="006968A5">
      <w:pPr>
        <w:spacing w:after="120"/>
        <w:rPr>
          <w:rFonts w:ascii="Cambria" w:hAnsi="Cambria"/>
          <w:b/>
          <w:bCs/>
          <w:sz w:val="22"/>
          <w:szCs w:val="22"/>
        </w:rPr>
      </w:pPr>
      <w:r w:rsidRPr="007F3DC4">
        <w:rPr>
          <w:rFonts w:ascii="Cambria" w:hAnsi="Cambria"/>
          <w:b/>
          <w:bCs/>
          <w:sz w:val="22"/>
          <w:szCs w:val="22"/>
        </w:rPr>
        <w:t>6. Review and Maintenance</w:t>
      </w:r>
    </w:p>
    <w:p w14:paraId="6CD1C1B4" w14:textId="77777777" w:rsidR="007F3DC4" w:rsidRPr="007F3DC4" w:rsidRDefault="007F3DC4" w:rsidP="00237410">
      <w:pPr>
        <w:spacing w:after="0"/>
        <w:rPr>
          <w:rFonts w:ascii="Cambria" w:hAnsi="Cambria"/>
          <w:sz w:val="20"/>
          <w:szCs w:val="20"/>
        </w:rPr>
      </w:pPr>
      <w:r w:rsidRPr="007F3DC4">
        <w:rPr>
          <w:rFonts w:ascii="Cambria" w:hAnsi="Cambria"/>
          <w:sz w:val="20"/>
          <w:szCs w:val="20"/>
        </w:rPr>
        <w:t xml:space="preserve">This policy and associated DRPs must be reviewed annually and after significant changes in systems, risk profile, or business operations. The </w:t>
      </w:r>
      <w:proofErr w:type="gramStart"/>
      <w:r w:rsidRPr="007F3DC4">
        <w:rPr>
          <w:rFonts w:ascii="Cambria" w:hAnsi="Cambria"/>
          <w:sz w:val="20"/>
          <w:szCs w:val="20"/>
        </w:rPr>
        <w:t>CISO or</w:t>
      </w:r>
      <w:proofErr w:type="gramEnd"/>
      <w:r w:rsidRPr="007F3DC4">
        <w:rPr>
          <w:rFonts w:ascii="Cambria" w:hAnsi="Cambria"/>
          <w:sz w:val="20"/>
          <w:szCs w:val="20"/>
        </w:rPr>
        <w:t xml:space="preserve"> delegate is responsible for policy updates and oversight.</w:t>
      </w:r>
    </w:p>
    <w:p w14:paraId="460112EC" w14:textId="0BCDE169" w:rsidR="007F3DC4" w:rsidRPr="007F3DC4" w:rsidRDefault="007F3DC4" w:rsidP="00237410">
      <w:pPr>
        <w:spacing w:after="0"/>
        <w:rPr>
          <w:rFonts w:ascii="Cambria" w:hAnsi="Cambria"/>
          <w:sz w:val="20"/>
          <w:szCs w:val="20"/>
        </w:rPr>
      </w:pPr>
    </w:p>
    <w:p w14:paraId="57A3AA52" w14:textId="77777777" w:rsidR="0067439C" w:rsidRDefault="0067439C" w:rsidP="006968A5">
      <w:pPr>
        <w:spacing w:after="120"/>
        <w:rPr>
          <w:rFonts w:ascii="Cambria" w:hAnsi="Cambria"/>
          <w:b/>
          <w:bCs/>
          <w:sz w:val="22"/>
          <w:szCs w:val="22"/>
        </w:rPr>
      </w:pPr>
    </w:p>
    <w:p w14:paraId="2A63CD2D" w14:textId="77777777" w:rsidR="0067439C" w:rsidRDefault="0067439C" w:rsidP="006968A5">
      <w:pPr>
        <w:spacing w:after="120"/>
        <w:rPr>
          <w:rFonts w:ascii="Cambria" w:hAnsi="Cambria"/>
          <w:b/>
          <w:bCs/>
          <w:sz w:val="22"/>
          <w:szCs w:val="22"/>
        </w:rPr>
      </w:pPr>
    </w:p>
    <w:p w14:paraId="41E4C237" w14:textId="77777777" w:rsidR="0067439C" w:rsidRDefault="0067439C" w:rsidP="006968A5">
      <w:pPr>
        <w:spacing w:after="120"/>
        <w:rPr>
          <w:rFonts w:ascii="Cambria" w:hAnsi="Cambria"/>
          <w:b/>
          <w:bCs/>
          <w:sz w:val="22"/>
          <w:szCs w:val="22"/>
        </w:rPr>
      </w:pPr>
    </w:p>
    <w:p w14:paraId="713E3526" w14:textId="77777777" w:rsidR="0067439C" w:rsidRDefault="0067439C" w:rsidP="006968A5">
      <w:pPr>
        <w:spacing w:after="120"/>
        <w:rPr>
          <w:rFonts w:ascii="Cambria" w:hAnsi="Cambria"/>
          <w:b/>
          <w:bCs/>
          <w:sz w:val="22"/>
          <w:szCs w:val="22"/>
        </w:rPr>
      </w:pPr>
    </w:p>
    <w:p w14:paraId="323FBD61" w14:textId="7FFB92DD" w:rsidR="007F3DC4" w:rsidRPr="007F3DC4" w:rsidRDefault="007F3DC4" w:rsidP="006968A5">
      <w:pPr>
        <w:spacing w:after="120"/>
        <w:rPr>
          <w:rFonts w:ascii="Cambria" w:hAnsi="Cambria"/>
          <w:b/>
          <w:bCs/>
          <w:sz w:val="22"/>
          <w:szCs w:val="22"/>
        </w:rPr>
      </w:pPr>
      <w:r w:rsidRPr="007F3DC4">
        <w:rPr>
          <w:rFonts w:ascii="Cambria" w:hAnsi="Cambria"/>
          <w:b/>
          <w:bCs/>
          <w:sz w:val="22"/>
          <w:szCs w:val="22"/>
        </w:rPr>
        <w:lastRenderedPageBreak/>
        <w:t>7. Acknowledgment and Agreement</w:t>
      </w:r>
    </w:p>
    <w:p w14:paraId="6378AFA2" w14:textId="2E415AF8" w:rsidR="00DE3B81" w:rsidRPr="009A6864" w:rsidRDefault="007F3DC4" w:rsidP="00097096">
      <w:pPr>
        <w:spacing w:after="120"/>
        <w:rPr>
          <w:rFonts w:ascii="Cambria" w:hAnsi="Cambria"/>
          <w:sz w:val="20"/>
          <w:szCs w:val="20"/>
        </w:rPr>
      </w:pPr>
      <w:r w:rsidRPr="007F3DC4">
        <w:rPr>
          <w:rFonts w:ascii="Cambria" w:hAnsi="Cambria"/>
          <w:sz w:val="20"/>
          <w:szCs w:val="20"/>
        </w:rPr>
        <w:t>I acknowledge that I have read and understand [COMPANY NAME]’s Disaster Recovery Policy. I agree to fulfill the responsibilities assigned to me within applicable DR plans and procedures.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0"/>
        <w:gridCol w:w="3330"/>
        <w:gridCol w:w="1980"/>
      </w:tblGrid>
      <w:tr w:rsidR="00DE3B81" w:rsidRPr="006300A8" w14:paraId="52AB958F" w14:textId="77777777" w:rsidTr="000C4B29">
        <w:trPr>
          <w:tblCellSpacing w:w="15" w:type="dxa"/>
        </w:trPr>
        <w:tc>
          <w:tcPr>
            <w:tcW w:w="4005" w:type="dxa"/>
            <w:vAlign w:val="center"/>
            <w:hideMark/>
          </w:tcPr>
          <w:p w14:paraId="27F6D6FC" w14:textId="7DD926A1" w:rsidR="00DE3B81" w:rsidRPr="00B37B1D" w:rsidRDefault="00E15F43" w:rsidP="000C4B2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Name</w:t>
            </w:r>
            <w:r w:rsidR="00DE3B81" w:rsidRPr="00B37B1D">
              <w:rPr>
                <w:rFonts w:ascii="Cambria" w:hAnsi="Cambria"/>
                <w:b/>
                <w:bCs/>
                <w:sz w:val="20"/>
                <w:szCs w:val="20"/>
              </w:rPr>
              <w:t xml:space="preserve"> (Print): </w:t>
            </w:r>
            <w:r w:rsidR="00DE3B81" w:rsidRPr="00B37B1D">
              <w:rPr>
                <w:rFonts w:ascii="Cambria" w:hAnsi="Cambria"/>
                <w:sz w:val="20"/>
                <w:szCs w:val="20"/>
              </w:rPr>
              <w:t xml:space="preserve"> _____</w:t>
            </w:r>
            <w:r w:rsidR="00DE3B81">
              <w:rPr>
                <w:rFonts w:ascii="Cambria" w:hAnsi="Cambria"/>
                <w:sz w:val="20"/>
                <w:szCs w:val="20"/>
              </w:rPr>
              <w:t>____________</w:t>
            </w:r>
            <w:r w:rsidR="00DE3B81" w:rsidRPr="00B37B1D">
              <w:rPr>
                <w:rFonts w:ascii="Cambria" w:hAnsi="Cambria"/>
                <w:sz w:val="20"/>
                <w:szCs w:val="20"/>
              </w:rPr>
              <w:t>____________</w:t>
            </w:r>
            <w:r w:rsidR="00DE3B81">
              <w:rPr>
                <w:rFonts w:ascii="Cambria" w:hAnsi="Cambria"/>
                <w:sz w:val="20"/>
                <w:szCs w:val="20"/>
              </w:rPr>
              <w:t>__</w:t>
            </w:r>
          </w:p>
        </w:tc>
        <w:tc>
          <w:tcPr>
            <w:tcW w:w="3300" w:type="dxa"/>
            <w:vAlign w:val="center"/>
            <w:hideMark/>
          </w:tcPr>
          <w:p w14:paraId="43A2420F" w14:textId="77777777" w:rsidR="00DE3B81" w:rsidRPr="00B37B1D" w:rsidRDefault="00DE3B81" w:rsidP="000C4B29">
            <w:pPr>
              <w:rPr>
                <w:rFonts w:ascii="Cambria" w:hAnsi="Cambria"/>
                <w:sz w:val="20"/>
                <w:szCs w:val="20"/>
              </w:rPr>
            </w:pPr>
            <w:r w:rsidRPr="00B37B1D">
              <w:rPr>
                <w:rFonts w:ascii="Cambria" w:hAnsi="Cambria"/>
                <w:b/>
                <w:bCs/>
                <w:sz w:val="20"/>
                <w:szCs w:val="20"/>
              </w:rPr>
              <w:t>Signature:</w:t>
            </w:r>
            <w:r w:rsidRPr="00B37B1D">
              <w:rPr>
                <w:rFonts w:ascii="Cambria" w:hAnsi="Cambria"/>
                <w:sz w:val="20"/>
                <w:szCs w:val="20"/>
              </w:rPr>
              <w:t xml:space="preserve"> ______</w:t>
            </w:r>
            <w:r>
              <w:rPr>
                <w:rFonts w:ascii="Cambria" w:hAnsi="Cambria"/>
                <w:sz w:val="20"/>
                <w:szCs w:val="20"/>
              </w:rPr>
              <w:t>____</w:t>
            </w:r>
            <w:r w:rsidRPr="00B37B1D">
              <w:rPr>
                <w:rFonts w:ascii="Cambria" w:hAnsi="Cambria"/>
                <w:sz w:val="20"/>
                <w:szCs w:val="20"/>
              </w:rPr>
              <w:t>__</w:t>
            </w:r>
            <w:r>
              <w:rPr>
                <w:rFonts w:ascii="Cambria" w:hAnsi="Cambria"/>
                <w:sz w:val="20"/>
                <w:szCs w:val="20"/>
              </w:rPr>
              <w:t>_</w:t>
            </w:r>
            <w:r w:rsidRPr="00B37B1D">
              <w:rPr>
                <w:rFonts w:ascii="Cambria" w:hAnsi="Cambria"/>
                <w:sz w:val="20"/>
                <w:szCs w:val="20"/>
              </w:rPr>
              <w:t>________</w:t>
            </w:r>
            <w:r>
              <w:rPr>
                <w:rFonts w:ascii="Cambria" w:hAnsi="Cambria"/>
                <w:sz w:val="20"/>
                <w:szCs w:val="20"/>
              </w:rPr>
              <w:t>_</w:t>
            </w:r>
            <w:r w:rsidRPr="00B37B1D">
              <w:rPr>
                <w:rFonts w:ascii="Cambria" w:hAnsi="Cambria"/>
                <w:sz w:val="20"/>
                <w:szCs w:val="20"/>
              </w:rPr>
              <w:t>____</w:t>
            </w:r>
          </w:p>
        </w:tc>
        <w:tc>
          <w:tcPr>
            <w:tcW w:w="1935" w:type="dxa"/>
            <w:vAlign w:val="center"/>
            <w:hideMark/>
          </w:tcPr>
          <w:p w14:paraId="42CD2259" w14:textId="7D42B8CF" w:rsidR="00DE3B81" w:rsidRPr="00B37B1D" w:rsidRDefault="00DE3B81" w:rsidP="000C4B29">
            <w:pPr>
              <w:rPr>
                <w:rFonts w:ascii="Cambria" w:hAnsi="Cambria"/>
                <w:sz w:val="20"/>
                <w:szCs w:val="20"/>
              </w:rPr>
            </w:pPr>
            <w:r w:rsidRPr="00B37B1D">
              <w:rPr>
                <w:rFonts w:ascii="Cambria" w:hAnsi="Cambria"/>
                <w:b/>
                <w:bCs/>
                <w:sz w:val="20"/>
                <w:szCs w:val="20"/>
              </w:rPr>
              <w:t>Date:</w:t>
            </w:r>
            <w:r w:rsidRPr="00B37B1D">
              <w:rPr>
                <w:rFonts w:ascii="Cambria" w:hAnsi="Cambria"/>
                <w:sz w:val="20"/>
                <w:szCs w:val="20"/>
              </w:rPr>
              <w:t xml:space="preserve">  ________________</w:t>
            </w:r>
          </w:p>
        </w:tc>
      </w:tr>
    </w:tbl>
    <w:p w14:paraId="7C04A504" w14:textId="4A34B7B6" w:rsidR="004D0AAB" w:rsidRPr="006300A8" w:rsidRDefault="004D0AAB" w:rsidP="00237410">
      <w:pPr>
        <w:spacing w:after="0"/>
        <w:rPr>
          <w:rFonts w:ascii="Cambria" w:hAnsi="Cambria"/>
          <w:sz w:val="12"/>
          <w:szCs w:val="12"/>
        </w:rPr>
      </w:pPr>
    </w:p>
    <w:sectPr w:rsidR="004D0AAB" w:rsidRPr="00630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EADB3E" w14:textId="77777777" w:rsidR="006300A8" w:rsidRDefault="006300A8" w:rsidP="006300A8">
      <w:pPr>
        <w:spacing w:after="0" w:line="240" w:lineRule="auto"/>
      </w:pPr>
      <w:r>
        <w:separator/>
      </w:r>
    </w:p>
  </w:endnote>
  <w:endnote w:type="continuationSeparator" w:id="0">
    <w:p w14:paraId="72CE1DAB" w14:textId="77777777" w:rsidR="006300A8" w:rsidRDefault="006300A8" w:rsidP="00630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FEC7D6" w14:textId="77777777" w:rsidR="006300A8" w:rsidRDefault="006300A8" w:rsidP="006300A8">
      <w:pPr>
        <w:spacing w:after="0" w:line="240" w:lineRule="auto"/>
      </w:pPr>
      <w:r>
        <w:separator/>
      </w:r>
    </w:p>
  </w:footnote>
  <w:footnote w:type="continuationSeparator" w:id="0">
    <w:p w14:paraId="4C175342" w14:textId="77777777" w:rsidR="006300A8" w:rsidRDefault="006300A8" w:rsidP="006300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F3B8E"/>
    <w:multiLevelType w:val="multilevel"/>
    <w:tmpl w:val="F200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76A16"/>
    <w:multiLevelType w:val="multilevel"/>
    <w:tmpl w:val="1246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C2C2C"/>
    <w:multiLevelType w:val="multilevel"/>
    <w:tmpl w:val="C474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DB5132"/>
    <w:multiLevelType w:val="multilevel"/>
    <w:tmpl w:val="51A0E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164C66"/>
    <w:multiLevelType w:val="multilevel"/>
    <w:tmpl w:val="79E6D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B22D11"/>
    <w:multiLevelType w:val="multilevel"/>
    <w:tmpl w:val="3C82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6697830">
    <w:abstractNumId w:val="1"/>
  </w:num>
  <w:num w:numId="2" w16cid:durableId="2127460040">
    <w:abstractNumId w:val="2"/>
  </w:num>
  <w:num w:numId="3" w16cid:durableId="847333586">
    <w:abstractNumId w:val="0"/>
  </w:num>
  <w:num w:numId="4" w16cid:durableId="1482573247">
    <w:abstractNumId w:val="4"/>
  </w:num>
  <w:num w:numId="5" w16cid:durableId="1009017163">
    <w:abstractNumId w:val="5"/>
  </w:num>
  <w:num w:numId="6" w16cid:durableId="12575964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AAB"/>
    <w:rsid w:val="00097096"/>
    <w:rsid w:val="000B1BA1"/>
    <w:rsid w:val="00144EF9"/>
    <w:rsid w:val="00176183"/>
    <w:rsid w:val="00237410"/>
    <w:rsid w:val="002C2E59"/>
    <w:rsid w:val="003A7142"/>
    <w:rsid w:val="003F4503"/>
    <w:rsid w:val="00401D42"/>
    <w:rsid w:val="00463366"/>
    <w:rsid w:val="004D0AAB"/>
    <w:rsid w:val="004F6027"/>
    <w:rsid w:val="0056664B"/>
    <w:rsid w:val="00570975"/>
    <w:rsid w:val="005D3AFE"/>
    <w:rsid w:val="005F448E"/>
    <w:rsid w:val="006300A8"/>
    <w:rsid w:val="0067439C"/>
    <w:rsid w:val="006968A5"/>
    <w:rsid w:val="007A2D55"/>
    <w:rsid w:val="007F3DC4"/>
    <w:rsid w:val="007F50F5"/>
    <w:rsid w:val="008275E1"/>
    <w:rsid w:val="00860E5E"/>
    <w:rsid w:val="008E7F98"/>
    <w:rsid w:val="00901B5C"/>
    <w:rsid w:val="0095210E"/>
    <w:rsid w:val="009A6864"/>
    <w:rsid w:val="00A11912"/>
    <w:rsid w:val="00AA230A"/>
    <w:rsid w:val="00D0469A"/>
    <w:rsid w:val="00DE3B81"/>
    <w:rsid w:val="00E1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809C8A2"/>
  <w15:chartTrackingRefBased/>
  <w15:docId w15:val="{F4719D19-733A-41C9-8444-10028437C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A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A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A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A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A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A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A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A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A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A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A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A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A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A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A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A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A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A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A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A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A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A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A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A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A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A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A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AA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30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0A8"/>
  </w:style>
  <w:style w:type="paragraph" w:styleId="Footer">
    <w:name w:val="footer"/>
    <w:basedOn w:val="Normal"/>
    <w:link w:val="FooterChar"/>
    <w:uiPriority w:val="99"/>
    <w:unhideWhenUsed/>
    <w:rsid w:val="00630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0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9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653</Words>
  <Characters>3726</Characters>
  <Application>Microsoft Office Word</Application>
  <DocSecurity>0</DocSecurity>
  <Lines>31</Lines>
  <Paragraphs>8</Paragraphs>
  <ScaleCrop>false</ScaleCrop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Kaitlin Zanoni</dc:creator>
  <cp:keywords/>
  <dc:description/>
  <cp:lastModifiedBy>Kaitlin Zanoni</cp:lastModifiedBy>
  <cp:revision>28</cp:revision>
  <dcterms:created xsi:type="dcterms:W3CDTF">2025-05-03T14:45:00Z</dcterms:created>
  <dcterms:modified xsi:type="dcterms:W3CDTF">2025-05-06T16:23:00Z</dcterms:modified>
</cp:coreProperties>
</file>