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1B689" w14:textId="77777777" w:rsidR="00C063D6" w:rsidRPr="00C063D6" w:rsidRDefault="00C063D6" w:rsidP="00C063D6">
      <w:pPr>
        <w:spacing w:after="0"/>
        <w:jc w:val="center"/>
        <w:rPr>
          <w:rFonts w:ascii="Cambria" w:hAnsi="Cambria"/>
          <w:b/>
          <w:bCs/>
        </w:rPr>
      </w:pPr>
      <w:r w:rsidRPr="00C063D6">
        <w:rPr>
          <w:rFonts w:ascii="Cambria" w:hAnsi="Cambria"/>
          <w:b/>
          <w:bCs/>
        </w:rPr>
        <w:t>Privacy and Data Protection Policy (PDPP)</w:t>
      </w:r>
      <w:r w:rsidRPr="00C063D6">
        <w:rPr>
          <w:rFonts w:ascii="Cambria" w:hAnsi="Cambria"/>
        </w:rPr>
        <w:br/>
      </w:r>
    </w:p>
    <w:p w14:paraId="34A8E00D" w14:textId="7C0E4A34" w:rsidR="00C063D6" w:rsidRPr="00C063D6" w:rsidRDefault="00C063D6" w:rsidP="00267B6E">
      <w:pPr>
        <w:spacing w:after="120"/>
        <w:rPr>
          <w:rFonts w:ascii="Cambria" w:hAnsi="Cambria"/>
          <w:sz w:val="20"/>
          <w:szCs w:val="20"/>
        </w:rPr>
      </w:pPr>
      <w:r w:rsidRPr="00C063D6">
        <w:rPr>
          <w:rFonts w:ascii="Cambria" w:hAnsi="Cambria"/>
          <w:b/>
          <w:bCs/>
          <w:sz w:val="20"/>
          <w:szCs w:val="20"/>
        </w:rPr>
        <w:t>Policy ID:</w:t>
      </w:r>
      <w:r w:rsidRPr="00C063D6">
        <w:rPr>
          <w:rFonts w:ascii="Cambria" w:hAnsi="Cambria"/>
          <w:sz w:val="20"/>
          <w:szCs w:val="20"/>
        </w:rPr>
        <w:t xml:space="preserve"> SEC-PDPP-001</w:t>
      </w:r>
      <w:r w:rsidRPr="00C063D6">
        <w:rPr>
          <w:rFonts w:ascii="Cambria" w:hAnsi="Cambria"/>
          <w:sz w:val="20"/>
          <w:szCs w:val="20"/>
        </w:rPr>
        <w:br/>
      </w:r>
      <w:r w:rsidRPr="00C063D6">
        <w:rPr>
          <w:rFonts w:ascii="Cambria" w:hAnsi="Cambria"/>
          <w:b/>
          <w:bCs/>
          <w:sz w:val="20"/>
          <w:szCs w:val="20"/>
        </w:rPr>
        <w:t>Version:</w:t>
      </w:r>
      <w:r w:rsidRPr="00C063D6">
        <w:rPr>
          <w:rFonts w:ascii="Cambria" w:hAnsi="Cambria"/>
          <w:sz w:val="20"/>
          <w:szCs w:val="20"/>
        </w:rPr>
        <w:t xml:space="preserve"> 1.0</w:t>
      </w:r>
      <w:r w:rsidRPr="00C063D6">
        <w:rPr>
          <w:rFonts w:ascii="Cambria" w:hAnsi="Cambria"/>
          <w:sz w:val="20"/>
          <w:szCs w:val="20"/>
        </w:rPr>
        <w:br/>
      </w:r>
      <w:r w:rsidRPr="00C063D6">
        <w:rPr>
          <w:rFonts w:ascii="Cambria" w:hAnsi="Cambria"/>
          <w:b/>
          <w:bCs/>
          <w:sz w:val="20"/>
          <w:szCs w:val="20"/>
        </w:rPr>
        <w:t>Approval Date:</w:t>
      </w:r>
      <w:r w:rsidRPr="00C063D6">
        <w:rPr>
          <w:rFonts w:ascii="Cambria" w:hAnsi="Cambria"/>
          <w:sz w:val="20"/>
          <w:szCs w:val="20"/>
        </w:rPr>
        <w:t xml:space="preserve"> [Insert Date]</w:t>
      </w:r>
      <w:r w:rsidRPr="00C063D6">
        <w:rPr>
          <w:rFonts w:ascii="Cambria" w:hAnsi="Cambria"/>
          <w:sz w:val="20"/>
          <w:szCs w:val="20"/>
        </w:rPr>
        <w:br/>
      </w:r>
      <w:r w:rsidRPr="00C063D6">
        <w:rPr>
          <w:rFonts w:ascii="Cambria" w:hAnsi="Cambria"/>
          <w:b/>
          <w:bCs/>
          <w:sz w:val="20"/>
          <w:szCs w:val="20"/>
        </w:rPr>
        <w:t>Next Review Date:</w:t>
      </w:r>
      <w:r w:rsidRPr="00C063D6">
        <w:rPr>
          <w:rFonts w:ascii="Cambria" w:hAnsi="Cambria"/>
          <w:sz w:val="20"/>
          <w:szCs w:val="20"/>
        </w:rPr>
        <w:t xml:space="preserve"> [Insert Date + 12 months]</w:t>
      </w:r>
      <w:r w:rsidRPr="00C063D6">
        <w:rPr>
          <w:rFonts w:ascii="Cambria" w:hAnsi="Cambria"/>
          <w:sz w:val="20"/>
          <w:szCs w:val="20"/>
        </w:rPr>
        <w:br/>
      </w:r>
      <w:r w:rsidRPr="00C063D6">
        <w:rPr>
          <w:rFonts w:ascii="Cambria" w:hAnsi="Cambria"/>
          <w:b/>
          <w:bCs/>
          <w:sz w:val="20"/>
          <w:szCs w:val="20"/>
        </w:rPr>
        <w:t>Owner:</w:t>
      </w:r>
      <w:r w:rsidRPr="00C063D6">
        <w:rPr>
          <w:rFonts w:ascii="Cambria" w:hAnsi="Cambria"/>
          <w:sz w:val="20"/>
          <w:szCs w:val="20"/>
        </w:rPr>
        <w:t xml:space="preserve"> Chief Privacy Officer (CPO) / Chief Information Security Officer (CISO)</w:t>
      </w:r>
      <w:r w:rsidRPr="00C063D6">
        <w:rPr>
          <w:rFonts w:ascii="Cambria" w:hAnsi="Cambria"/>
          <w:sz w:val="20"/>
          <w:szCs w:val="20"/>
        </w:rPr>
        <w:br/>
      </w:r>
      <w:r w:rsidRPr="00C063D6">
        <w:rPr>
          <w:rFonts w:ascii="Cambria" w:hAnsi="Cambria"/>
          <w:b/>
          <w:bCs/>
          <w:sz w:val="20"/>
          <w:szCs w:val="20"/>
        </w:rPr>
        <w:t>Applies To:</w:t>
      </w:r>
      <w:r w:rsidRPr="00C063D6">
        <w:rPr>
          <w:rFonts w:ascii="Cambria" w:hAnsi="Cambria"/>
          <w:sz w:val="20"/>
          <w:szCs w:val="20"/>
        </w:rPr>
        <w:t xml:space="preserve"> All employees, contractors, and service providers who collect, process, store, or share personal data on behalf of [COMPANY NAME]</w:t>
      </w:r>
    </w:p>
    <w:p w14:paraId="4DA81AE1" w14:textId="77777777" w:rsidR="00C063D6" w:rsidRPr="00C063D6" w:rsidRDefault="00C063D6" w:rsidP="00267B6E">
      <w:pPr>
        <w:spacing w:after="120"/>
        <w:rPr>
          <w:rFonts w:ascii="Cambria" w:hAnsi="Cambria"/>
          <w:sz w:val="20"/>
          <w:szCs w:val="20"/>
        </w:rPr>
      </w:pPr>
      <w:r w:rsidRPr="00C063D6">
        <w:rPr>
          <w:rFonts w:ascii="Cambria" w:hAnsi="Cambria"/>
          <w:sz w:val="20"/>
          <w:szCs w:val="20"/>
        </w:rPr>
        <w:pict w14:anchorId="505A312D">
          <v:rect id="_x0000_i1083" style="width:0;height:1.5pt" o:hralign="center" o:hrstd="t" o:hr="t" fillcolor="#a0a0a0" stroked="f"/>
        </w:pict>
      </w:r>
    </w:p>
    <w:p w14:paraId="451C0081" w14:textId="77777777" w:rsidR="00C063D6" w:rsidRPr="00C063D6" w:rsidRDefault="00C063D6" w:rsidP="00267B6E">
      <w:pPr>
        <w:spacing w:after="120"/>
        <w:rPr>
          <w:rFonts w:ascii="Cambria" w:hAnsi="Cambria"/>
          <w:b/>
          <w:bCs/>
          <w:sz w:val="22"/>
          <w:szCs w:val="22"/>
        </w:rPr>
      </w:pPr>
      <w:r w:rsidRPr="00C063D6">
        <w:rPr>
          <w:rFonts w:ascii="Cambria" w:hAnsi="Cambria"/>
          <w:b/>
          <w:bCs/>
          <w:sz w:val="22"/>
          <w:szCs w:val="22"/>
        </w:rPr>
        <w:t>1. Purpose</w:t>
      </w:r>
    </w:p>
    <w:p w14:paraId="5E4C3BBD" w14:textId="77777777" w:rsidR="00C063D6" w:rsidRPr="00C063D6" w:rsidRDefault="00C063D6" w:rsidP="00C063D6">
      <w:pPr>
        <w:spacing w:after="0"/>
        <w:rPr>
          <w:rFonts w:ascii="Cambria" w:hAnsi="Cambria"/>
          <w:sz w:val="20"/>
          <w:szCs w:val="20"/>
        </w:rPr>
      </w:pPr>
      <w:r w:rsidRPr="00C063D6">
        <w:rPr>
          <w:rFonts w:ascii="Cambria" w:hAnsi="Cambria"/>
          <w:sz w:val="20"/>
          <w:szCs w:val="20"/>
        </w:rPr>
        <w:t>The purpose of this policy is to establish [COMPANY NAME]’s privacy principles, define personal data handling requirements, and ensure compliance with applicable laws and frameworks. It governs the protection of personal and sensitive information throughout its lifecycle.</w:t>
      </w:r>
    </w:p>
    <w:p w14:paraId="2D9CAA90" w14:textId="3304732C" w:rsidR="00C063D6" w:rsidRPr="00C063D6" w:rsidRDefault="00C063D6" w:rsidP="00C063D6">
      <w:pPr>
        <w:spacing w:after="0"/>
        <w:rPr>
          <w:rFonts w:ascii="Cambria" w:hAnsi="Cambria"/>
          <w:sz w:val="20"/>
          <w:szCs w:val="20"/>
        </w:rPr>
      </w:pPr>
    </w:p>
    <w:p w14:paraId="6E48152D" w14:textId="77777777" w:rsidR="00C063D6" w:rsidRPr="00C063D6" w:rsidRDefault="00C063D6" w:rsidP="00267B6E">
      <w:pPr>
        <w:spacing w:after="120"/>
        <w:rPr>
          <w:rFonts w:ascii="Cambria" w:hAnsi="Cambria"/>
          <w:b/>
          <w:bCs/>
          <w:sz w:val="22"/>
          <w:szCs w:val="22"/>
        </w:rPr>
      </w:pPr>
      <w:r w:rsidRPr="00C063D6">
        <w:rPr>
          <w:rFonts w:ascii="Cambria" w:hAnsi="Cambria"/>
          <w:b/>
          <w:bCs/>
          <w:sz w:val="22"/>
          <w:szCs w:val="22"/>
        </w:rPr>
        <w:t>2. Scope</w:t>
      </w:r>
    </w:p>
    <w:p w14:paraId="5E614865" w14:textId="77777777" w:rsidR="00C063D6" w:rsidRPr="00C063D6" w:rsidRDefault="00C063D6" w:rsidP="00C063D6">
      <w:pPr>
        <w:spacing w:after="0"/>
        <w:rPr>
          <w:rFonts w:ascii="Cambria" w:hAnsi="Cambria"/>
          <w:sz w:val="20"/>
          <w:szCs w:val="20"/>
        </w:rPr>
      </w:pPr>
      <w:r w:rsidRPr="00C063D6">
        <w:rPr>
          <w:rFonts w:ascii="Cambria" w:hAnsi="Cambria"/>
          <w:sz w:val="20"/>
          <w:szCs w:val="20"/>
        </w:rPr>
        <w:t>This policy applies to all personal data processed by [COMPANY NAME], including employee, customer, vendor, and partner data in both digital and physical formats. It includes:</w:t>
      </w:r>
    </w:p>
    <w:p w14:paraId="55233E01" w14:textId="77777777" w:rsidR="00C063D6" w:rsidRPr="00C063D6" w:rsidRDefault="00C063D6" w:rsidP="00C063D6">
      <w:pPr>
        <w:numPr>
          <w:ilvl w:val="0"/>
          <w:numId w:val="1"/>
        </w:numPr>
        <w:spacing w:after="0"/>
        <w:rPr>
          <w:rFonts w:ascii="Cambria" w:hAnsi="Cambria"/>
          <w:sz w:val="20"/>
          <w:szCs w:val="20"/>
        </w:rPr>
      </w:pPr>
      <w:r w:rsidRPr="00C063D6">
        <w:rPr>
          <w:rFonts w:ascii="Cambria" w:hAnsi="Cambria"/>
          <w:sz w:val="20"/>
          <w:szCs w:val="20"/>
        </w:rPr>
        <w:t>Direct and indirect identifiers (e.g., name, ID numbers, IP address)</w:t>
      </w:r>
    </w:p>
    <w:p w14:paraId="440E9B1B" w14:textId="77777777" w:rsidR="00C063D6" w:rsidRPr="00C063D6" w:rsidRDefault="00C063D6" w:rsidP="00C063D6">
      <w:pPr>
        <w:numPr>
          <w:ilvl w:val="0"/>
          <w:numId w:val="1"/>
        </w:numPr>
        <w:spacing w:after="0"/>
        <w:rPr>
          <w:rFonts w:ascii="Cambria" w:hAnsi="Cambria"/>
          <w:sz w:val="20"/>
          <w:szCs w:val="20"/>
        </w:rPr>
      </w:pPr>
      <w:r w:rsidRPr="00C063D6">
        <w:rPr>
          <w:rFonts w:ascii="Cambria" w:hAnsi="Cambria"/>
          <w:sz w:val="20"/>
          <w:szCs w:val="20"/>
        </w:rPr>
        <w:t>Sensitive data (e.g., financial, health, biometric)</w:t>
      </w:r>
    </w:p>
    <w:p w14:paraId="7F61467A" w14:textId="77777777" w:rsidR="00C063D6" w:rsidRPr="00C063D6" w:rsidRDefault="00C063D6" w:rsidP="00C063D6">
      <w:pPr>
        <w:numPr>
          <w:ilvl w:val="0"/>
          <w:numId w:val="1"/>
        </w:numPr>
        <w:spacing w:after="0"/>
        <w:rPr>
          <w:rFonts w:ascii="Cambria" w:hAnsi="Cambria"/>
          <w:sz w:val="20"/>
          <w:szCs w:val="20"/>
        </w:rPr>
      </w:pPr>
      <w:r w:rsidRPr="00C063D6">
        <w:rPr>
          <w:rFonts w:ascii="Cambria" w:hAnsi="Cambria"/>
          <w:sz w:val="20"/>
          <w:szCs w:val="20"/>
        </w:rPr>
        <w:t>Data processed within internal systems and by third parties</w:t>
      </w:r>
    </w:p>
    <w:p w14:paraId="51D9B732" w14:textId="77777777" w:rsidR="00C063D6" w:rsidRPr="00C063D6" w:rsidRDefault="00C063D6" w:rsidP="00C063D6">
      <w:pPr>
        <w:numPr>
          <w:ilvl w:val="0"/>
          <w:numId w:val="1"/>
        </w:numPr>
        <w:spacing w:after="0"/>
        <w:rPr>
          <w:rFonts w:ascii="Cambria" w:hAnsi="Cambria"/>
          <w:sz w:val="20"/>
          <w:szCs w:val="20"/>
        </w:rPr>
      </w:pPr>
      <w:r w:rsidRPr="00C063D6">
        <w:rPr>
          <w:rFonts w:ascii="Cambria" w:hAnsi="Cambria"/>
          <w:sz w:val="20"/>
          <w:szCs w:val="20"/>
        </w:rPr>
        <w:t>Data collected via websites, mobile apps, or internal tools</w:t>
      </w:r>
    </w:p>
    <w:p w14:paraId="2855E330" w14:textId="4CC32AD0" w:rsidR="00C063D6" w:rsidRPr="00C063D6" w:rsidRDefault="00C063D6" w:rsidP="00C063D6">
      <w:pPr>
        <w:spacing w:after="0"/>
        <w:rPr>
          <w:rFonts w:ascii="Cambria" w:hAnsi="Cambria"/>
          <w:sz w:val="20"/>
          <w:szCs w:val="20"/>
        </w:rPr>
      </w:pPr>
    </w:p>
    <w:p w14:paraId="01F9831B" w14:textId="77777777" w:rsidR="00C063D6" w:rsidRPr="00C063D6" w:rsidRDefault="00C063D6" w:rsidP="00D00D24">
      <w:pPr>
        <w:spacing w:after="120"/>
        <w:rPr>
          <w:rFonts w:ascii="Cambria" w:hAnsi="Cambria"/>
          <w:b/>
          <w:bCs/>
          <w:sz w:val="22"/>
          <w:szCs w:val="22"/>
        </w:rPr>
      </w:pPr>
      <w:r w:rsidRPr="00C063D6">
        <w:rPr>
          <w:rFonts w:ascii="Cambria" w:hAnsi="Cambria"/>
          <w:b/>
          <w:bCs/>
          <w:sz w:val="22"/>
          <w:szCs w:val="22"/>
        </w:rPr>
        <w:t>3. Policy Statements</w:t>
      </w:r>
    </w:p>
    <w:p w14:paraId="5C274E0A"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3.1 Lawful and Transparent Processing</w:t>
      </w:r>
    </w:p>
    <w:p w14:paraId="6AE9CE6B" w14:textId="77777777" w:rsidR="00C063D6" w:rsidRPr="00C063D6" w:rsidRDefault="00C063D6" w:rsidP="00C063D6">
      <w:pPr>
        <w:numPr>
          <w:ilvl w:val="0"/>
          <w:numId w:val="2"/>
        </w:numPr>
        <w:spacing w:after="0"/>
        <w:rPr>
          <w:rFonts w:ascii="Cambria" w:hAnsi="Cambria"/>
          <w:sz w:val="20"/>
          <w:szCs w:val="20"/>
        </w:rPr>
      </w:pPr>
      <w:r w:rsidRPr="00C063D6">
        <w:rPr>
          <w:rFonts w:ascii="Cambria" w:hAnsi="Cambria"/>
          <w:sz w:val="20"/>
          <w:szCs w:val="20"/>
        </w:rPr>
        <w:t xml:space="preserve">Personal data must be collected and processed based on a documented legal basis (e.g., consent, contract, legal obligation). </w:t>
      </w:r>
      <w:r w:rsidRPr="00C063D6">
        <w:rPr>
          <w:rFonts w:ascii="Cambria" w:hAnsi="Cambria"/>
          <w:i/>
          <w:iCs/>
          <w:sz w:val="20"/>
          <w:szCs w:val="20"/>
        </w:rPr>
        <w:t>(GDPR Art. 6; CCPA §1798.100; NIST AR-4; ISO 27001 A.5.11)</w:t>
      </w:r>
    </w:p>
    <w:p w14:paraId="26A0C839" w14:textId="77777777" w:rsidR="00C063D6" w:rsidRPr="00C063D6" w:rsidRDefault="00C063D6" w:rsidP="00D00D24">
      <w:pPr>
        <w:numPr>
          <w:ilvl w:val="0"/>
          <w:numId w:val="2"/>
        </w:numPr>
        <w:spacing w:after="120"/>
        <w:rPr>
          <w:rFonts w:ascii="Cambria" w:hAnsi="Cambria"/>
          <w:sz w:val="20"/>
          <w:szCs w:val="20"/>
        </w:rPr>
      </w:pPr>
      <w:r w:rsidRPr="00C063D6">
        <w:rPr>
          <w:rFonts w:ascii="Cambria" w:hAnsi="Cambria"/>
          <w:sz w:val="20"/>
          <w:szCs w:val="20"/>
        </w:rPr>
        <w:t xml:space="preserve">Data subjects must be informed of the purpose, scope, and use of their data at the point of </w:t>
      </w:r>
      <w:proofErr w:type="gramStart"/>
      <w:r w:rsidRPr="00C063D6">
        <w:rPr>
          <w:rFonts w:ascii="Cambria" w:hAnsi="Cambria"/>
          <w:sz w:val="20"/>
          <w:szCs w:val="20"/>
        </w:rPr>
        <w:t>collection</w:t>
      </w:r>
      <w:proofErr w:type="gramEnd"/>
      <w:r w:rsidRPr="00C063D6">
        <w:rPr>
          <w:rFonts w:ascii="Cambria" w:hAnsi="Cambria"/>
          <w:sz w:val="20"/>
          <w:szCs w:val="20"/>
        </w:rPr>
        <w:t xml:space="preserve">. </w:t>
      </w:r>
      <w:r w:rsidRPr="00C063D6">
        <w:rPr>
          <w:rFonts w:ascii="Cambria" w:hAnsi="Cambria"/>
          <w:i/>
          <w:iCs/>
          <w:sz w:val="20"/>
          <w:szCs w:val="20"/>
        </w:rPr>
        <w:t>(GDPR Art. 12-14; ISO 27001 A.5.11)</w:t>
      </w:r>
    </w:p>
    <w:p w14:paraId="012DF52C"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3.2 Data Minimization and Purpose Limitation</w:t>
      </w:r>
    </w:p>
    <w:p w14:paraId="5B2350E1" w14:textId="77777777" w:rsidR="00C063D6" w:rsidRPr="00C063D6" w:rsidRDefault="00C063D6" w:rsidP="00C063D6">
      <w:pPr>
        <w:numPr>
          <w:ilvl w:val="0"/>
          <w:numId w:val="3"/>
        </w:numPr>
        <w:spacing w:after="0"/>
        <w:rPr>
          <w:rFonts w:ascii="Cambria" w:hAnsi="Cambria"/>
          <w:sz w:val="20"/>
          <w:szCs w:val="20"/>
        </w:rPr>
      </w:pPr>
      <w:r w:rsidRPr="00C063D6">
        <w:rPr>
          <w:rFonts w:ascii="Cambria" w:hAnsi="Cambria"/>
          <w:sz w:val="20"/>
          <w:szCs w:val="20"/>
        </w:rPr>
        <w:t xml:space="preserve">Only the minimum amount of personal data required for a specific purpose may be collected and processed. </w:t>
      </w:r>
      <w:r w:rsidRPr="00C063D6">
        <w:rPr>
          <w:rFonts w:ascii="Cambria" w:hAnsi="Cambria"/>
          <w:i/>
          <w:iCs/>
          <w:sz w:val="20"/>
          <w:szCs w:val="20"/>
        </w:rPr>
        <w:t>(GDPR Art. 5(1)(c); NIST DM-1; ISO 27001 A.5.12)</w:t>
      </w:r>
    </w:p>
    <w:p w14:paraId="74E2B4E8" w14:textId="77777777" w:rsidR="00C063D6" w:rsidRPr="00C063D6" w:rsidRDefault="00C063D6" w:rsidP="00D00D24">
      <w:pPr>
        <w:numPr>
          <w:ilvl w:val="0"/>
          <w:numId w:val="3"/>
        </w:numPr>
        <w:spacing w:after="120"/>
        <w:rPr>
          <w:rFonts w:ascii="Cambria" w:hAnsi="Cambria"/>
          <w:sz w:val="20"/>
          <w:szCs w:val="20"/>
        </w:rPr>
      </w:pPr>
      <w:r w:rsidRPr="00C063D6">
        <w:rPr>
          <w:rFonts w:ascii="Cambria" w:hAnsi="Cambria"/>
          <w:sz w:val="20"/>
          <w:szCs w:val="20"/>
        </w:rPr>
        <w:t xml:space="preserve">Personal data must not be used for new or unrelated purposes without obtaining additional lawful justification. </w:t>
      </w:r>
      <w:r w:rsidRPr="00C063D6">
        <w:rPr>
          <w:rFonts w:ascii="Cambria" w:hAnsi="Cambria"/>
          <w:i/>
          <w:iCs/>
          <w:sz w:val="20"/>
          <w:szCs w:val="20"/>
        </w:rPr>
        <w:t>(GDPR Art. 6(4); CCPA §1798.100(b))</w:t>
      </w:r>
    </w:p>
    <w:p w14:paraId="38432689"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3.3 Data Subject Rights</w:t>
      </w:r>
    </w:p>
    <w:p w14:paraId="032A3229" w14:textId="77777777" w:rsidR="00C063D6" w:rsidRPr="00C063D6" w:rsidRDefault="00C063D6" w:rsidP="00C063D6">
      <w:pPr>
        <w:numPr>
          <w:ilvl w:val="0"/>
          <w:numId w:val="4"/>
        </w:numPr>
        <w:spacing w:after="0"/>
        <w:rPr>
          <w:rFonts w:ascii="Cambria" w:hAnsi="Cambria"/>
          <w:sz w:val="20"/>
          <w:szCs w:val="20"/>
        </w:rPr>
      </w:pPr>
      <w:r w:rsidRPr="00C063D6">
        <w:rPr>
          <w:rFonts w:ascii="Cambria" w:hAnsi="Cambria"/>
          <w:sz w:val="20"/>
          <w:szCs w:val="20"/>
        </w:rPr>
        <w:t xml:space="preserve">Individuals have the right to access, correct, delete, restrict, and obtain a copy of their personal data. </w:t>
      </w:r>
      <w:r w:rsidRPr="00C063D6">
        <w:rPr>
          <w:rFonts w:ascii="Cambria" w:hAnsi="Cambria"/>
          <w:i/>
          <w:iCs/>
          <w:sz w:val="20"/>
          <w:szCs w:val="20"/>
        </w:rPr>
        <w:t>(GDPR Art. 15–20; CCPA §1798.100–105; NIST AR-2; ISO 27001 A.5.11)</w:t>
      </w:r>
    </w:p>
    <w:p w14:paraId="04D300F3" w14:textId="77777777" w:rsidR="00C063D6" w:rsidRPr="00C063D6" w:rsidRDefault="00C063D6" w:rsidP="00D00D24">
      <w:pPr>
        <w:numPr>
          <w:ilvl w:val="0"/>
          <w:numId w:val="4"/>
        </w:numPr>
        <w:spacing w:after="120"/>
        <w:rPr>
          <w:rFonts w:ascii="Cambria" w:hAnsi="Cambria"/>
          <w:sz w:val="20"/>
          <w:szCs w:val="20"/>
        </w:rPr>
      </w:pPr>
      <w:r w:rsidRPr="00C063D6">
        <w:rPr>
          <w:rFonts w:ascii="Cambria" w:hAnsi="Cambria"/>
          <w:sz w:val="20"/>
          <w:szCs w:val="20"/>
        </w:rPr>
        <w:t xml:space="preserve">All </w:t>
      </w:r>
      <w:proofErr w:type="gramStart"/>
      <w:r w:rsidRPr="00C063D6">
        <w:rPr>
          <w:rFonts w:ascii="Cambria" w:hAnsi="Cambria"/>
          <w:sz w:val="20"/>
          <w:szCs w:val="20"/>
        </w:rPr>
        <w:t>data subject</w:t>
      </w:r>
      <w:proofErr w:type="gramEnd"/>
      <w:r w:rsidRPr="00C063D6">
        <w:rPr>
          <w:rFonts w:ascii="Cambria" w:hAnsi="Cambria"/>
          <w:sz w:val="20"/>
          <w:szCs w:val="20"/>
        </w:rPr>
        <w:t xml:space="preserve"> requests must be acknowledged and fulfilled within </w:t>
      </w:r>
      <w:proofErr w:type="gramStart"/>
      <w:r w:rsidRPr="00C063D6">
        <w:rPr>
          <w:rFonts w:ascii="Cambria" w:hAnsi="Cambria"/>
          <w:sz w:val="20"/>
          <w:szCs w:val="20"/>
        </w:rPr>
        <w:t>legally</w:t>
      </w:r>
      <w:proofErr w:type="gramEnd"/>
      <w:r w:rsidRPr="00C063D6">
        <w:rPr>
          <w:rFonts w:ascii="Cambria" w:hAnsi="Cambria"/>
          <w:sz w:val="20"/>
          <w:szCs w:val="20"/>
        </w:rPr>
        <w:t xml:space="preserve"> required timeframes. </w:t>
      </w:r>
      <w:r w:rsidRPr="00C063D6">
        <w:rPr>
          <w:rFonts w:ascii="Cambria" w:hAnsi="Cambria"/>
          <w:i/>
          <w:iCs/>
          <w:sz w:val="20"/>
          <w:szCs w:val="20"/>
        </w:rPr>
        <w:t>(GDPR Art. 12(3); CCPA §1798.130)</w:t>
      </w:r>
    </w:p>
    <w:p w14:paraId="670F2A7C" w14:textId="77777777" w:rsidR="0014794E" w:rsidRDefault="0014794E" w:rsidP="00D00D24">
      <w:pPr>
        <w:spacing w:after="120"/>
        <w:rPr>
          <w:rFonts w:ascii="Cambria" w:hAnsi="Cambria"/>
          <w:b/>
          <w:bCs/>
          <w:sz w:val="20"/>
          <w:szCs w:val="20"/>
        </w:rPr>
      </w:pPr>
    </w:p>
    <w:p w14:paraId="17E54BF1" w14:textId="77777777" w:rsidR="0014794E" w:rsidRDefault="0014794E" w:rsidP="00D00D24">
      <w:pPr>
        <w:spacing w:after="120"/>
        <w:rPr>
          <w:rFonts w:ascii="Cambria" w:hAnsi="Cambria"/>
          <w:b/>
          <w:bCs/>
          <w:sz w:val="20"/>
          <w:szCs w:val="20"/>
        </w:rPr>
      </w:pPr>
    </w:p>
    <w:p w14:paraId="2DD82AA5" w14:textId="4BDDD29A" w:rsidR="00C063D6" w:rsidRPr="00C063D6" w:rsidRDefault="00C063D6" w:rsidP="00D00D24">
      <w:pPr>
        <w:spacing w:after="120"/>
        <w:rPr>
          <w:rFonts w:ascii="Cambria" w:hAnsi="Cambria"/>
          <w:b/>
          <w:bCs/>
          <w:sz w:val="20"/>
          <w:szCs w:val="20"/>
        </w:rPr>
      </w:pPr>
      <w:r w:rsidRPr="00C063D6">
        <w:rPr>
          <w:rFonts w:ascii="Cambria" w:hAnsi="Cambria"/>
          <w:b/>
          <w:bCs/>
          <w:sz w:val="20"/>
          <w:szCs w:val="20"/>
        </w:rPr>
        <w:lastRenderedPageBreak/>
        <w:t>3.4 Security of Personal Data</w:t>
      </w:r>
    </w:p>
    <w:p w14:paraId="58E8C789" w14:textId="77777777" w:rsidR="00C063D6" w:rsidRPr="00C063D6" w:rsidRDefault="00C063D6" w:rsidP="00C063D6">
      <w:pPr>
        <w:numPr>
          <w:ilvl w:val="0"/>
          <w:numId w:val="5"/>
        </w:numPr>
        <w:spacing w:after="0"/>
        <w:rPr>
          <w:rFonts w:ascii="Cambria" w:hAnsi="Cambria"/>
          <w:sz w:val="20"/>
          <w:szCs w:val="20"/>
        </w:rPr>
      </w:pPr>
      <w:r w:rsidRPr="00C063D6">
        <w:rPr>
          <w:rFonts w:ascii="Cambria" w:hAnsi="Cambria"/>
          <w:sz w:val="20"/>
          <w:szCs w:val="20"/>
        </w:rPr>
        <w:t xml:space="preserve">Personal data must be encrypted during storage and transmission using approved cryptographic methods. </w:t>
      </w:r>
      <w:r w:rsidRPr="00C063D6">
        <w:rPr>
          <w:rFonts w:ascii="Cambria" w:hAnsi="Cambria"/>
          <w:i/>
          <w:iCs/>
          <w:sz w:val="20"/>
          <w:szCs w:val="20"/>
        </w:rPr>
        <w:t>(NIST SC-12, SC-13; ISO 27001 A.8.24, A.8.25)</w:t>
      </w:r>
    </w:p>
    <w:p w14:paraId="753BA7EC" w14:textId="77777777" w:rsidR="00C063D6" w:rsidRPr="00C063D6" w:rsidRDefault="00C063D6" w:rsidP="00C063D6">
      <w:pPr>
        <w:numPr>
          <w:ilvl w:val="0"/>
          <w:numId w:val="5"/>
        </w:numPr>
        <w:spacing w:after="0"/>
        <w:rPr>
          <w:rFonts w:ascii="Cambria" w:hAnsi="Cambria"/>
          <w:sz w:val="20"/>
          <w:szCs w:val="20"/>
        </w:rPr>
      </w:pPr>
      <w:r w:rsidRPr="00C063D6">
        <w:rPr>
          <w:rFonts w:ascii="Cambria" w:hAnsi="Cambria"/>
          <w:sz w:val="20"/>
          <w:szCs w:val="20"/>
        </w:rPr>
        <w:t xml:space="preserve">Access to personal data must be restricted to authorized personnel only. </w:t>
      </w:r>
      <w:r w:rsidRPr="00C063D6">
        <w:rPr>
          <w:rFonts w:ascii="Cambria" w:hAnsi="Cambria"/>
          <w:i/>
          <w:iCs/>
          <w:sz w:val="20"/>
          <w:szCs w:val="20"/>
        </w:rPr>
        <w:t>(NIST AC-6; ISO 27001 A.5.18; GDPR Art. 32)</w:t>
      </w:r>
    </w:p>
    <w:p w14:paraId="0CA60678" w14:textId="77777777" w:rsidR="00C063D6" w:rsidRPr="00C063D6" w:rsidRDefault="00C063D6" w:rsidP="00D00D24">
      <w:pPr>
        <w:numPr>
          <w:ilvl w:val="0"/>
          <w:numId w:val="5"/>
        </w:numPr>
        <w:spacing w:after="120"/>
        <w:rPr>
          <w:rFonts w:ascii="Cambria" w:hAnsi="Cambria"/>
          <w:sz w:val="20"/>
          <w:szCs w:val="20"/>
        </w:rPr>
      </w:pPr>
      <w:r w:rsidRPr="00C063D6">
        <w:rPr>
          <w:rFonts w:ascii="Cambria" w:hAnsi="Cambria"/>
          <w:sz w:val="20"/>
          <w:szCs w:val="20"/>
        </w:rPr>
        <w:t xml:space="preserve">Personal data breaches must be reported, investigated, and documented in accordance with legal obligations. </w:t>
      </w:r>
      <w:r w:rsidRPr="00C063D6">
        <w:rPr>
          <w:rFonts w:ascii="Cambria" w:hAnsi="Cambria"/>
          <w:i/>
          <w:iCs/>
          <w:sz w:val="20"/>
          <w:szCs w:val="20"/>
        </w:rPr>
        <w:t>(NIST IR-6; ISO 27001 A.5.25; GDPR Art. 33–34)</w:t>
      </w:r>
    </w:p>
    <w:p w14:paraId="5852D547"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3.5 Third-Party Processing</w:t>
      </w:r>
    </w:p>
    <w:p w14:paraId="7CCCDAA8" w14:textId="77777777" w:rsidR="00C063D6" w:rsidRPr="00C063D6" w:rsidRDefault="00C063D6" w:rsidP="00C063D6">
      <w:pPr>
        <w:numPr>
          <w:ilvl w:val="0"/>
          <w:numId w:val="6"/>
        </w:numPr>
        <w:spacing w:after="0"/>
        <w:rPr>
          <w:rFonts w:ascii="Cambria" w:hAnsi="Cambria"/>
          <w:sz w:val="20"/>
          <w:szCs w:val="20"/>
        </w:rPr>
      </w:pPr>
      <w:r w:rsidRPr="00C063D6">
        <w:rPr>
          <w:rFonts w:ascii="Cambria" w:hAnsi="Cambria"/>
          <w:sz w:val="20"/>
          <w:szCs w:val="20"/>
        </w:rPr>
        <w:t xml:space="preserve">Third-party processors must be bound by a data processing agreement (DPA) that enforces equivalent data protection obligations. </w:t>
      </w:r>
      <w:r w:rsidRPr="00C063D6">
        <w:rPr>
          <w:rFonts w:ascii="Cambria" w:hAnsi="Cambria"/>
          <w:i/>
          <w:iCs/>
          <w:sz w:val="20"/>
          <w:szCs w:val="20"/>
        </w:rPr>
        <w:t>(GDPR Art. 28; NIST SR-3; ISO 27001 A.5.20)</w:t>
      </w:r>
    </w:p>
    <w:p w14:paraId="59ED6560" w14:textId="77777777" w:rsidR="00C063D6" w:rsidRPr="00C063D6" w:rsidRDefault="00C063D6" w:rsidP="00D00D24">
      <w:pPr>
        <w:numPr>
          <w:ilvl w:val="0"/>
          <w:numId w:val="6"/>
        </w:numPr>
        <w:spacing w:after="120"/>
        <w:rPr>
          <w:rFonts w:ascii="Cambria" w:hAnsi="Cambria"/>
          <w:sz w:val="20"/>
          <w:szCs w:val="20"/>
        </w:rPr>
      </w:pPr>
      <w:r w:rsidRPr="00C063D6">
        <w:rPr>
          <w:rFonts w:ascii="Cambria" w:hAnsi="Cambria"/>
          <w:sz w:val="20"/>
          <w:szCs w:val="20"/>
        </w:rPr>
        <w:t xml:space="preserve">Vendors with access to personal data must be evaluated for privacy and security risks before onboarding. </w:t>
      </w:r>
      <w:r w:rsidRPr="00C063D6">
        <w:rPr>
          <w:rFonts w:ascii="Cambria" w:hAnsi="Cambria"/>
          <w:i/>
          <w:iCs/>
          <w:sz w:val="20"/>
          <w:szCs w:val="20"/>
        </w:rPr>
        <w:t>(NIST SA-9; ISO 27001 A.5.21)</w:t>
      </w:r>
    </w:p>
    <w:p w14:paraId="035707F1"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3.6 Data Retention and Disposal</w:t>
      </w:r>
    </w:p>
    <w:p w14:paraId="3CD869E4" w14:textId="77777777" w:rsidR="00C063D6" w:rsidRPr="00C063D6" w:rsidRDefault="00C063D6" w:rsidP="00C063D6">
      <w:pPr>
        <w:numPr>
          <w:ilvl w:val="0"/>
          <w:numId w:val="7"/>
        </w:numPr>
        <w:spacing w:after="0"/>
        <w:rPr>
          <w:rFonts w:ascii="Cambria" w:hAnsi="Cambria"/>
          <w:sz w:val="20"/>
          <w:szCs w:val="20"/>
        </w:rPr>
      </w:pPr>
      <w:r w:rsidRPr="00C063D6">
        <w:rPr>
          <w:rFonts w:ascii="Cambria" w:hAnsi="Cambria"/>
          <w:sz w:val="20"/>
          <w:szCs w:val="20"/>
        </w:rPr>
        <w:t xml:space="preserve">Personal data must be retained only as long as necessary for business or legal reasons. </w:t>
      </w:r>
      <w:r w:rsidRPr="00C063D6">
        <w:rPr>
          <w:rFonts w:ascii="Cambria" w:hAnsi="Cambria"/>
          <w:i/>
          <w:iCs/>
          <w:sz w:val="20"/>
          <w:szCs w:val="20"/>
        </w:rPr>
        <w:t>(GDPR Art. 5(1)(e); CCPA §1798.105(c); NIST DM-2; ISO 27001 A.8.10)</w:t>
      </w:r>
    </w:p>
    <w:p w14:paraId="5563124A" w14:textId="77777777" w:rsidR="00C063D6" w:rsidRPr="00C063D6" w:rsidRDefault="00C063D6" w:rsidP="00D00D24">
      <w:pPr>
        <w:numPr>
          <w:ilvl w:val="0"/>
          <w:numId w:val="7"/>
        </w:numPr>
        <w:spacing w:after="120"/>
        <w:rPr>
          <w:rFonts w:ascii="Cambria" w:hAnsi="Cambria"/>
          <w:sz w:val="20"/>
          <w:szCs w:val="20"/>
        </w:rPr>
      </w:pPr>
      <w:r w:rsidRPr="00C063D6">
        <w:rPr>
          <w:rFonts w:ascii="Cambria" w:hAnsi="Cambria"/>
          <w:sz w:val="20"/>
          <w:szCs w:val="20"/>
        </w:rPr>
        <w:t xml:space="preserve">Data that is no longer required must be securely deleted, anonymized, or destroyed. </w:t>
      </w:r>
      <w:r w:rsidRPr="00C063D6">
        <w:rPr>
          <w:rFonts w:ascii="Cambria" w:hAnsi="Cambria"/>
          <w:i/>
          <w:iCs/>
          <w:sz w:val="20"/>
          <w:szCs w:val="20"/>
        </w:rPr>
        <w:t>(NIST MP-6; ISO 27001 A.8.11)</w:t>
      </w:r>
    </w:p>
    <w:p w14:paraId="54C17F24"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3.7 Privacy by Design and Default</w:t>
      </w:r>
    </w:p>
    <w:p w14:paraId="1E377540" w14:textId="77777777" w:rsidR="00C063D6" w:rsidRPr="00C063D6" w:rsidRDefault="00C063D6" w:rsidP="00C063D6">
      <w:pPr>
        <w:numPr>
          <w:ilvl w:val="0"/>
          <w:numId w:val="8"/>
        </w:numPr>
        <w:spacing w:after="0"/>
        <w:rPr>
          <w:rFonts w:ascii="Cambria" w:hAnsi="Cambria"/>
          <w:sz w:val="20"/>
          <w:szCs w:val="20"/>
        </w:rPr>
      </w:pPr>
      <w:r w:rsidRPr="00C063D6">
        <w:rPr>
          <w:rFonts w:ascii="Cambria" w:hAnsi="Cambria"/>
          <w:sz w:val="20"/>
          <w:szCs w:val="20"/>
        </w:rPr>
        <w:t xml:space="preserve">New systems and processes must incorporate privacy controls and default settings to limit data exposure. </w:t>
      </w:r>
      <w:r w:rsidRPr="00C063D6">
        <w:rPr>
          <w:rFonts w:ascii="Cambria" w:hAnsi="Cambria"/>
          <w:i/>
          <w:iCs/>
          <w:sz w:val="20"/>
          <w:szCs w:val="20"/>
        </w:rPr>
        <w:t>(GDPR Art. 25; NIST PL-8; ISO 27001 A.5.11)</w:t>
      </w:r>
    </w:p>
    <w:p w14:paraId="5099E4AD" w14:textId="77777777" w:rsidR="00C063D6" w:rsidRPr="00C063D6" w:rsidRDefault="00C063D6" w:rsidP="00C063D6">
      <w:pPr>
        <w:numPr>
          <w:ilvl w:val="0"/>
          <w:numId w:val="8"/>
        </w:numPr>
        <w:spacing w:after="0"/>
        <w:rPr>
          <w:rFonts w:ascii="Cambria" w:hAnsi="Cambria"/>
          <w:sz w:val="20"/>
          <w:szCs w:val="20"/>
        </w:rPr>
      </w:pPr>
      <w:r w:rsidRPr="00C063D6">
        <w:rPr>
          <w:rFonts w:ascii="Cambria" w:hAnsi="Cambria"/>
          <w:sz w:val="20"/>
          <w:szCs w:val="20"/>
        </w:rPr>
        <w:t xml:space="preserve">Data protection impact assessments (DPIAs) must be conducted before introducing high-risk processing activities. </w:t>
      </w:r>
      <w:r w:rsidRPr="00C063D6">
        <w:rPr>
          <w:rFonts w:ascii="Cambria" w:hAnsi="Cambria"/>
          <w:i/>
          <w:iCs/>
          <w:sz w:val="20"/>
          <w:szCs w:val="20"/>
        </w:rPr>
        <w:t>(GDPR Art. 35; NIST AR-3)</w:t>
      </w:r>
    </w:p>
    <w:p w14:paraId="3AE6A52D" w14:textId="4F39AF4B" w:rsidR="00C063D6" w:rsidRPr="00C063D6" w:rsidRDefault="00C063D6" w:rsidP="00C063D6">
      <w:pPr>
        <w:spacing w:after="0"/>
        <w:rPr>
          <w:rFonts w:ascii="Cambria" w:hAnsi="Cambria"/>
          <w:sz w:val="20"/>
          <w:szCs w:val="20"/>
        </w:rPr>
      </w:pPr>
    </w:p>
    <w:p w14:paraId="3D5B9181"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4.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7020"/>
      </w:tblGrid>
      <w:tr w:rsidR="00C063D6" w:rsidRPr="00C063D6" w14:paraId="6D29BF13" w14:textId="77777777" w:rsidTr="00D00D24">
        <w:trPr>
          <w:trHeight w:val="423"/>
          <w:tblCellSpacing w:w="15" w:type="dxa"/>
        </w:trPr>
        <w:tc>
          <w:tcPr>
            <w:tcW w:w="2295" w:type="dxa"/>
            <w:hideMark/>
          </w:tcPr>
          <w:p w14:paraId="29FF00D8" w14:textId="77777777" w:rsidR="00C063D6" w:rsidRPr="00C063D6" w:rsidRDefault="00C063D6" w:rsidP="00D00D24">
            <w:pPr>
              <w:spacing w:after="0"/>
              <w:rPr>
                <w:rFonts w:ascii="Cambria" w:hAnsi="Cambria"/>
                <w:sz w:val="20"/>
                <w:szCs w:val="20"/>
              </w:rPr>
            </w:pPr>
            <w:r w:rsidRPr="00C063D6">
              <w:rPr>
                <w:rFonts w:ascii="Cambria" w:hAnsi="Cambria"/>
                <w:b/>
                <w:bCs/>
                <w:sz w:val="20"/>
                <w:szCs w:val="20"/>
              </w:rPr>
              <w:t>All Users</w:t>
            </w:r>
          </w:p>
        </w:tc>
        <w:tc>
          <w:tcPr>
            <w:tcW w:w="6975" w:type="dxa"/>
            <w:hideMark/>
          </w:tcPr>
          <w:p w14:paraId="36D0390F" w14:textId="77777777" w:rsidR="00C063D6" w:rsidRPr="00C063D6" w:rsidRDefault="00C063D6" w:rsidP="00D00D24">
            <w:pPr>
              <w:spacing w:after="0"/>
              <w:rPr>
                <w:rFonts w:ascii="Cambria" w:hAnsi="Cambria"/>
                <w:sz w:val="20"/>
                <w:szCs w:val="20"/>
              </w:rPr>
            </w:pPr>
            <w:r w:rsidRPr="00C063D6">
              <w:rPr>
                <w:rFonts w:ascii="Cambria" w:hAnsi="Cambria"/>
                <w:sz w:val="20"/>
                <w:szCs w:val="20"/>
              </w:rPr>
              <w:t>Follow privacy policies and report incidents or data handling issues.</w:t>
            </w:r>
          </w:p>
        </w:tc>
      </w:tr>
      <w:tr w:rsidR="00C063D6" w:rsidRPr="00C063D6" w14:paraId="02A559D5" w14:textId="77777777" w:rsidTr="00D00D24">
        <w:trPr>
          <w:trHeight w:val="654"/>
          <w:tblCellSpacing w:w="15" w:type="dxa"/>
        </w:trPr>
        <w:tc>
          <w:tcPr>
            <w:tcW w:w="2295" w:type="dxa"/>
            <w:hideMark/>
          </w:tcPr>
          <w:p w14:paraId="759438CE" w14:textId="77777777" w:rsidR="00C063D6" w:rsidRPr="00C063D6" w:rsidRDefault="00C063D6" w:rsidP="00D00D24">
            <w:pPr>
              <w:spacing w:after="0"/>
              <w:rPr>
                <w:rFonts w:ascii="Cambria" w:hAnsi="Cambria"/>
                <w:sz w:val="20"/>
                <w:szCs w:val="20"/>
              </w:rPr>
            </w:pPr>
            <w:r w:rsidRPr="00C063D6">
              <w:rPr>
                <w:rFonts w:ascii="Cambria" w:hAnsi="Cambria"/>
                <w:b/>
                <w:bCs/>
                <w:sz w:val="20"/>
                <w:szCs w:val="20"/>
              </w:rPr>
              <w:t>CPO / Privacy Team</w:t>
            </w:r>
          </w:p>
        </w:tc>
        <w:tc>
          <w:tcPr>
            <w:tcW w:w="6975" w:type="dxa"/>
            <w:hideMark/>
          </w:tcPr>
          <w:p w14:paraId="52542F3F" w14:textId="77777777" w:rsidR="00C063D6" w:rsidRPr="00C063D6" w:rsidRDefault="00C063D6" w:rsidP="00D00D24">
            <w:pPr>
              <w:spacing w:after="0"/>
              <w:rPr>
                <w:rFonts w:ascii="Cambria" w:hAnsi="Cambria"/>
                <w:sz w:val="20"/>
                <w:szCs w:val="20"/>
              </w:rPr>
            </w:pPr>
            <w:r w:rsidRPr="00C063D6">
              <w:rPr>
                <w:rFonts w:ascii="Cambria" w:hAnsi="Cambria"/>
                <w:sz w:val="20"/>
                <w:szCs w:val="20"/>
              </w:rPr>
              <w:t>Oversee privacy governance, respond to rights requests, and maintain legal compliance.</w:t>
            </w:r>
          </w:p>
        </w:tc>
      </w:tr>
      <w:tr w:rsidR="00C063D6" w:rsidRPr="00C063D6" w14:paraId="616F2CB1" w14:textId="77777777" w:rsidTr="00D00D24">
        <w:trPr>
          <w:trHeight w:val="672"/>
          <w:tblCellSpacing w:w="15" w:type="dxa"/>
        </w:trPr>
        <w:tc>
          <w:tcPr>
            <w:tcW w:w="2295" w:type="dxa"/>
            <w:hideMark/>
          </w:tcPr>
          <w:p w14:paraId="1C7400F8" w14:textId="77777777" w:rsidR="00C063D6" w:rsidRPr="00C063D6" w:rsidRDefault="00C063D6" w:rsidP="00D00D24">
            <w:pPr>
              <w:spacing w:after="0"/>
              <w:rPr>
                <w:rFonts w:ascii="Cambria" w:hAnsi="Cambria"/>
                <w:sz w:val="20"/>
                <w:szCs w:val="20"/>
              </w:rPr>
            </w:pPr>
            <w:r w:rsidRPr="00C063D6">
              <w:rPr>
                <w:rFonts w:ascii="Cambria" w:hAnsi="Cambria"/>
                <w:b/>
                <w:bCs/>
                <w:sz w:val="20"/>
                <w:szCs w:val="20"/>
              </w:rPr>
              <w:t>IT/Security Team</w:t>
            </w:r>
          </w:p>
        </w:tc>
        <w:tc>
          <w:tcPr>
            <w:tcW w:w="6975" w:type="dxa"/>
            <w:hideMark/>
          </w:tcPr>
          <w:p w14:paraId="2955F39A" w14:textId="77777777" w:rsidR="00C063D6" w:rsidRPr="00C063D6" w:rsidRDefault="00C063D6" w:rsidP="00D00D24">
            <w:pPr>
              <w:spacing w:after="0"/>
              <w:rPr>
                <w:rFonts w:ascii="Cambria" w:hAnsi="Cambria"/>
                <w:sz w:val="20"/>
                <w:szCs w:val="20"/>
              </w:rPr>
            </w:pPr>
            <w:r w:rsidRPr="00C063D6">
              <w:rPr>
                <w:rFonts w:ascii="Cambria" w:hAnsi="Cambria"/>
                <w:sz w:val="20"/>
                <w:szCs w:val="20"/>
              </w:rPr>
              <w:t>Enforce access control, encryption, and breach response for personal data systems.</w:t>
            </w:r>
          </w:p>
        </w:tc>
      </w:tr>
      <w:tr w:rsidR="00C063D6" w:rsidRPr="00C063D6" w14:paraId="280F75A1" w14:textId="77777777" w:rsidTr="00D00D24">
        <w:trPr>
          <w:trHeight w:val="384"/>
          <w:tblCellSpacing w:w="15" w:type="dxa"/>
        </w:trPr>
        <w:tc>
          <w:tcPr>
            <w:tcW w:w="2295" w:type="dxa"/>
            <w:hideMark/>
          </w:tcPr>
          <w:p w14:paraId="011262AA" w14:textId="77777777" w:rsidR="00C063D6" w:rsidRPr="00C063D6" w:rsidRDefault="00C063D6" w:rsidP="00D00D24">
            <w:pPr>
              <w:spacing w:after="0"/>
              <w:rPr>
                <w:rFonts w:ascii="Cambria" w:hAnsi="Cambria"/>
                <w:sz w:val="20"/>
                <w:szCs w:val="20"/>
              </w:rPr>
            </w:pPr>
            <w:r w:rsidRPr="00C063D6">
              <w:rPr>
                <w:rFonts w:ascii="Cambria" w:hAnsi="Cambria"/>
                <w:b/>
                <w:bCs/>
                <w:sz w:val="20"/>
                <w:szCs w:val="20"/>
              </w:rPr>
              <w:t>Legal/Compliance</w:t>
            </w:r>
          </w:p>
        </w:tc>
        <w:tc>
          <w:tcPr>
            <w:tcW w:w="6975" w:type="dxa"/>
            <w:hideMark/>
          </w:tcPr>
          <w:p w14:paraId="395FB780" w14:textId="77777777" w:rsidR="00C063D6" w:rsidRPr="00C063D6" w:rsidRDefault="00C063D6" w:rsidP="00D00D24">
            <w:pPr>
              <w:spacing w:after="0"/>
              <w:rPr>
                <w:rFonts w:ascii="Cambria" w:hAnsi="Cambria"/>
                <w:sz w:val="20"/>
                <w:szCs w:val="20"/>
              </w:rPr>
            </w:pPr>
            <w:r w:rsidRPr="00C063D6">
              <w:rPr>
                <w:rFonts w:ascii="Cambria" w:hAnsi="Cambria"/>
                <w:sz w:val="20"/>
                <w:szCs w:val="20"/>
              </w:rPr>
              <w:t>Ensure policy alignment with applicable privacy laws and contracts.</w:t>
            </w:r>
          </w:p>
        </w:tc>
      </w:tr>
      <w:tr w:rsidR="00C063D6" w:rsidRPr="00C063D6" w14:paraId="1E53B88B" w14:textId="77777777" w:rsidTr="00D00D24">
        <w:trPr>
          <w:tblCellSpacing w:w="15" w:type="dxa"/>
        </w:trPr>
        <w:tc>
          <w:tcPr>
            <w:tcW w:w="2295" w:type="dxa"/>
            <w:hideMark/>
          </w:tcPr>
          <w:p w14:paraId="74207568" w14:textId="77777777" w:rsidR="00C063D6" w:rsidRPr="00C063D6" w:rsidRDefault="00C063D6" w:rsidP="00D00D24">
            <w:pPr>
              <w:spacing w:after="0"/>
              <w:rPr>
                <w:rFonts w:ascii="Cambria" w:hAnsi="Cambria"/>
                <w:sz w:val="20"/>
                <w:szCs w:val="20"/>
              </w:rPr>
            </w:pPr>
            <w:r w:rsidRPr="00C063D6">
              <w:rPr>
                <w:rFonts w:ascii="Cambria" w:hAnsi="Cambria"/>
                <w:b/>
                <w:bCs/>
                <w:sz w:val="20"/>
                <w:szCs w:val="20"/>
              </w:rPr>
              <w:t>Third-Party Managers</w:t>
            </w:r>
          </w:p>
        </w:tc>
        <w:tc>
          <w:tcPr>
            <w:tcW w:w="6975" w:type="dxa"/>
            <w:hideMark/>
          </w:tcPr>
          <w:p w14:paraId="1C450168" w14:textId="77777777" w:rsidR="00C063D6" w:rsidRPr="00C063D6" w:rsidRDefault="00C063D6" w:rsidP="00D00D24">
            <w:pPr>
              <w:spacing w:after="0"/>
              <w:rPr>
                <w:rFonts w:ascii="Cambria" w:hAnsi="Cambria"/>
                <w:sz w:val="20"/>
                <w:szCs w:val="20"/>
              </w:rPr>
            </w:pPr>
            <w:r w:rsidRPr="00C063D6">
              <w:rPr>
                <w:rFonts w:ascii="Cambria" w:hAnsi="Cambria"/>
                <w:sz w:val="20"/>
                <w:szCs w:val="20"/>
              </w:rPr>
              <w:t>Ensure vendors with access to PII are risk-assessed and under DPAs.</w:t>
            </w:r>
          </w:p>
        </w:tc>
      </w:tr>
    </w:tbl>
    <w:p w14:paraId="0CDB6419" w14:textId="7306B5B2" w:rsidR="00C063D6" w:rsidRPr="00C063D6" w:rsidRDefault="00C063D6" w:rsidP="00C063D6">
      <w:pPr>
        <w:spacing w:after="0"/>
        <w:rPr>
          <w:rFonts w:ascii="Cambria" w:hAnsi="Cambria"/>
          <w:sz w:val="20"/>
          <w:szCs w:val="20"/>
        </w:rPr>
      </w:pPr>
    </w:p>
    <w:p w14:paraId="579BBE04"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5. Compliance and Enforcement</w:t>
      </w:r>
    </w:p>
    <w:p w14:paraId="0CD57C5E" w14:textId="77777777" w:rsidR="00C063D6" w:rsidRPr="00C063D6" w:rsidRDefault="00C063D6" w:rsidP="00C063D6">
      <w:pPr>
        <w:spacing w:after="0"/>
        <w:rPr>
          <w:rFonts w:ascii="Cambria" w:hAnsi="Cambria"/>
          <w:sz w:val="20"/>
          <w:szCs w:val="20"/>
        </w:rPr>
      </w:pPr>
      <w:r w:rsidRPr="00C063D6">
        <w:rPr>
          <w:rFonts w:ascii="Cambria" w:hAnsi="Cambria"/>
          <w:sz w:val="20"/>
          <w:szCs w:val="20"/>
        </w:rPr>
        <w:t>Violations of this policy may result in legal penalties, regulatory investigations, financial loss, or internal disciplinary action. [COMPANY NAME] enforces this policy through training, monitoring, and periodic privacy audits.</w:t>
      </w:r>
    </w:p>
    <w:p w14:paraId="7510DE9D" w14:textId="63756B9E" w:rsidR="00C063D6" w:rsidRPr="00C063D6" w:rsidRDefault="00C063D6" w:rsidP="00C063D6">
      <w:pPr>
        <w:spacing w:after="0"/>
        <w:rPr>
          <w:rFonts w:ascii="Cambria" w:hAnsi="Cambria"/>
          <w:sz w:val="20"/>
          <w:szCs w:val="20"/>
        </w:rPr>
      </w:pPr>
    </w:p>
    <w:p w14:paraId="23391D48"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6. Review and Maintenance</w:t>
      </w:r>
    </w:p>
    <w:p w14:paraId="61250A87" w14:textId="77777777" w:rsidR="00C063D6" w:rsidRPr="00C063D6" w:rsidRDefault="00C063D6" w:rsidP="00C063D6">
      <w:pPr>
        <w:spacing w:after="0"/>
        <w:rPr>
          <w:rFonts w:ascii="Cambria" w:hAnsi="Cambria"/>
          <w:sz w:val="20"/>
          <w:szCs w:val="20"/>
        </w:rPr>
      </w:pPr>
      <w:r w:rsidRPr="00C063D6">
        <w:rPr>
          <w:rFonts w:ascii="Cambria" w:hAnsi="Cambria"/>
          <w:sz w:val="20"/>
          <w:szCs w:val="20"/>
        </w:rPr>
        <w:lastRenderedPageBreak/>
        <w:t>This policy shall be reviewed annually or following any significant changes in data protection regulations, business practices, or data systems. Updates must be approved by the Chief Privacy Officer and communicated to all relevant stakeholders.</w:t>
      </w:r>
    </w:p>
    <w:p w14:paraId="6511BFCC" w14:textId="2AAE7347" w:rsidR="00C063D6" w:rsidRPr="00C063D6" w:rsidRDefault="00C063D6" w:rsidP="00C063D6">
      <w:pPr>
        <w:spacing w:after="0"/>
        <w:rPr>
          <w:rFonts w:ascii="Cambria" w:hAnsi="Cambria"/>
          <w:sz w:val="20"/>
          <w:szCs w:val="20"/>
        </w:rPr>
      </w:pPr>
    </w:p>
    <w:p w14:paraId="74F7DE61" w14:textId="77777777" w:rsidR="00C063D6" w:rsidRPr="00C063D6" w:rsidRDefault="00C063D6" w:rsidP="00D00D24">
      <w:pPr>
        <w:spacing w:after="120"/>
        <w:rPr>
          <w:rFonts w:ascii="Cambria" w:hAnsi="Cambria"/>
          <w:b/>
          <w:bCs/>
          <w:sz w:val="20"/>
          <w:szCs w:val="20"/>
        </w:rPr>
      </w:pPr>
      <w:r w:rsidRPr="00C063D6">
        <w:rPr>
          <w:rFonts w:ascii="Cambria" w:hAnsi="Cambria"/>
          <w:b/>
          <w:bCs/>
          <w:sz w:val="20"/>
          <w:szCs w:val="20"/>
        </w:rPr>
        <w:t>7. Acknowledgment and Agreement</w:t>
      </w:r>
    </w:p>
    <w:p w14:paraId="641B374E" w14:textId="77777777" w:rsidR="00C063D6" w:rsidRPr="00C063D6" w:rsidRDefault="00C063D6" w:rsidP="00E23DAB">
      <w:pPr>
        <w:spacing w:after="120"/>
        <w:rPr>
          <w:rFonts w:ascii="Cambria" w:hAnsi="Cambria"/>
          <w:sz w:val="20"/>
          <w:szCs w:val="20"/>
        </w:rPr>
      </w:pPr>
      <w:r w:rsidRPr="00C063D6">
        <w:rPr>
          <w:rFonts w:ascii="Cambria" w:hAnsi="Cambria"/>
          <w:sz w:val="20"/>
          <w:szCs w:val="20"/>
        </w:rPr>
        <w:t>I acknowledge that I have read, understand, and agree to comply with [COMPANY NAME]’s Privacy and Data Protection Policy. I understand my responsibilities and the importance of protecting personal data in accordance with this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3330"/>
        <w:gridCol w:w="1980"/>
      </w:tblGrid>
      <w:tr w:rsidR="00E23DAB" w:rsidRPr="006300A8" w14:paraId="2D67741C" w14:textId="77777777" w:rsidTr="006147F0">
        <w:trPr>
          <w:tblCellSpacing w:w="15" w:type="dxa"/>
        </w:trPr>
        <w:tc>
          <w:tcPr>
            <w:tcW w:w="4005" w:type="dxa"/>
            <w:vAlign w:val="center"/>
            <w:hideMark/>
          </w:tcPr>
          <w:p w14:paraId="7F5474E8" w14:textId="77777777" w:rsidR="00E23DAB" w:rsidRPr="00B37B1D" w:rsidRDefault="00E23DAB" w:rsidP="006147F0">
            <w:pPr>
              <w:rPr>
                <w:rFonts w:ascii="Cambria" w:hAnsi="Cambria"/>
                <w:sz w:val="20"/>
                <w:szCs w:val="20"/>
              </w:rPr>
            </w:pPr>
            <w:r>
              <w:rPr>
                <w:rFonts w:ascii="Cambria" w:hAnsi="Cambria"/>
                <w:b/>
                <w:bCs/>
                <w:sz w:val="20"/>
                <w:szCs w:val="20"/>
              </w:rPr>
              <w:t>Name</w:t>
            </w:r>
            <w:r w:rsidRPr="00B37B1D">
              <w:rPr>
                <w:rFonts w:ascii="Cambria" w:hAnsi="Cambria"/>
                <w:b/>
                <w:bCs/>
                <w:sz w:val="20"/>
                <w:szCs w:val="20"/>
              </w:rPr>
              <w:t xml:space="preserve"> (Print): </w:t>
            </w:r>
            <w:r w:rsidRPr="00B37B1D">
              <w:rPr>
                <w:rFonts w:ascii="Cambria" w:hAnsi="Cambria"/>
                <w:sz w:val="20"/>
                <w:szCs w:val="20"/>
              </w:rPr>
              <w:t xml:space="preserve"> _____</w:t>
            </w:r>
            <w:r>
              <w:rPr>
                <w:rFonts w:ascii="Cambria" w:hAnsi="Cambria"/>
                <w:sz w:val="20"/>
                <w:szCs w:val="20"/>
              </w:rPr>
              <w:t>____________</w:t>
            </w:r>
            <w:r w:rsidRPr="00B37B1D">
              <w:rPr>
                <w:rFonts w:ascii="Cambria" w:hAnsi="Cambria"/>
                <w:sz w:val="20"/>
                <w:szCs w:val="20"/>
              </w:rPr>
              <w:t>____________</w:t>
            </w:r>
            <w:r>
              <w:rPr>
                <w:rFonts w:ascii="Cambria" w:hAnsi="Cambria"/>
                <w:sz w:val="20"/>
                <w:szCs w:val="20"/>
              </w:rPr>
              <w:t>__</w:t>
            </w:r>
          </w:p>
        </w:tc>
        <w:tc>
          <w:tcPr>
            <w:tcW w:w="3300" w:type="dxa"/>
            <w:vAlign w:val="center"/>
            <w:hideMark/>
          </w:tcPr>
          <w:p w14:paraId="6615F213" w14:textId="77777777" w:rsidR="00E23DAB" w:rsidRPr="00B37B1D" w:rsidRDefault="00E23DAB" w:rsidP="006147F0">
            <w:pPr>
              <w:rPr>
                <w:rFonts w:ascii="Cambria" w:hAnsi="Cambria"/>
                <w:sz w:val="20"/>
                <w:szCs w:val="20"/>
              </w:rPr>
            </w:pPr>
            <w:r w:rsidRPr="00B37B1D">
              <w:rPr>
                <w:rFonts w:ascii="Cambria" w:hAnsi="Cambria"/>
                <w:b/>
                <w:bCs/>
                <w:sz w:val="20"/>
                <w:szCs w:val="20"/>
              </w:rPr>
              <w:t>Signature:</w:t>
            </w:r>
            <w:r w:rsidRPr="00B37B1D">
              <w:rPr>
                <w:rFonts w:ascii="Cambria" w:hAnsi="Cambria"/>
                <w:sz w:val="20"/>
                <w:szCs w:val="20"/>
              </w:rPr>
              <w:t xml:space="preserve"> ______</w:t>
            </w:r>
            <w:r>
              <w:rPr>
                <w:rFonts w:ascii="Cambria" w:hAnsi="Cambria"/>
                <w:sz w:val="20"/>
                <w:szCs w:val="20"/>
              </w:rPr>
              <w:t>____</w:t>
            </w:r>
            <w:r w:rsidRPr="00B37B1D">
              <w:rPr>
                <w:rFonts w:ascii="Cambria" w:hAnsi="Cambria"/>
                <w:sz w:val="20"/>
                <w:szCs w:val="20"/>
              </w:rPr>
              <w:t>__</w:t>
            </w:r>
            <w:r>
              <w:rPr>
                <w:rFonts w:ascii="Cambria" w:hAnsi="Cambria"/>
                <w:sz w:val="20"/>
                <w:szCs w:val="20"/>
              </w:rPr>
              <w:t>_</w:t>
            </w:r>
            <w:r w:rsidRPr="00B37B1D">
              <w:rPr>
                <w:rFonts w:ascii="Cambria" w:hAnsi="Cambria"/>
                <w:sz w:val="20"/>
                <w:szCs w:val="20"/>
              </w:rPr>
              <w:t>________</w:t>
            </w:r>
            <w:r>
              <w:rPr>
                <w:rFonts w:ascii="Cambria" w:hAnsi="Cambria"/>
                <w:sz w:val="20"/>
                <w:szCs w:val="20"/>
              </w:rPr>
              <w:t>_</w:t>
            </w:r>
            <w:r w:rsidRPr="00B37B1D">
              <w:rPr>
                <w:rFonts w:ascii="Cambria" w:hAnsi="Cambria"/>
                <w:sz w:val="20"/>
                <w:szCs w:val="20"/>
              </w:rPr>
              <w:t>____</w:t>
            </w:r>
          </w:p>
        </w:tc>
        <w:tc>
          <w:tcPr>
            <w:tcW w:w="1935" w:type="dxa"/>
            <w:vAlign w:val="center"/>
            <w:hideMark/>
          </w:tcPr>
          <w:p w14:paraId="72F49E3D" w14:textId="77777777" w:rsidR="00E23DAB" w:rsidRPr="00B37B1D" w:rsidRDefault="00E23DAB" w:rsidP="006147F0">
            <w:pPr>
              <w:rPr>
                <w:rFonts w:ascii="Cambria" w:hAnsi="Cambria"/>
                <w:sz w:val="20"/>
                <w:szCs w:val="20"/>
              </w:rPr>
            </w:pPr>
            <w:r w:rsidRPr="00B37B1D">
              <w:rPr>
                <w:rFonts w:ascii="Cambria" w:hAnsi="Cambria"/>
                <w:b/>
                <w:bCs/>
                <w:sz w:val="20"/>
                <w:szCs w:val="20"/>
              </w:rPr>
              <w:t>Date:</w:t>
            </w:r>
            <w:r w:rsidRPr="00B37B1D">
              <w:rPr>
                <w:rFonts w:ascii="Cambria" w:hAnsi="Cambria"/>
                <w:sz w:val="20"/>
                <w:szCs w:val="20"/>
              </w:rPr>
              <w:t xml:space="preserve">  ________________</w:t>
            </w:r>
          </w:p>
        </w:tc>
      </w:tr>
    </w:tbl>
    <w:p w14:paraId="761A9472" w14:textId="77777777" w:rsidR="00AC1529" w:rsidRPr="00C063D6" w:rsidRDefault="00AC1529" w:rsidP="00C063D6">
      <w:pPr>
        <w:spacing w:after="0"/>
        <w:rPr>
          <w:rFonts w:ascii="Cambria" w:hAnsi="Cambria"/>
          <w:sz w:val="20"/>
          <w:szCs w:val="20"/>
        </w:rPr>
      </w:pPr>
    </w:p>
    <w:sectPr w:rsidR="00AC1529" w:rsidRPr="00C0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54371"/>
    <w:multiLevelType w:val="multilevel"/>
    <w:tmpl w:val="1F9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1FB0"/>
    <w:multiLevelType w:val="multilevel"/>
    <w:tmpl w:val="930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7A31"/>
    <w:multiLevelType w:val="multilevel"/>
    <w:tmpl w:val="ED7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87626"/>
    <w:multiLevelType w:val="multilevel"/>
    <w:tmpl w:val="B7C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01B77"/>
    <w:multiLevelType w:val="multilevel"/>
    <w:tmpl w:val="947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740E4"/>
    <w:multiLevelType w:val="multilevel"/>
    <w:tmpl w:val="72F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B612B6"/>
    <w:multiLevelType w:val="multilevel"/>
    <w:tmpl w:val="E2D4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D498B"/>
    <w:multiLevelType w:val="multilevel"/>
    <w:tmpl w:val="419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902547">
    <w:abstractNumId w:val="5"/>
  </w:num>
  <w:num w:numId="2" w16cid:durableId="1624730236">
    <w:abstractNumId w:val="2"/>
  </w:num>
  <w:num w:numId="3" w16cid:durableId="829711424">
    <w:abstractNumId w:val="7"/>
  </w:num>
  <w:num w:numId="4" w16cid:durableId="1228802584">
    <w:abstractNumId w:val="4"/>
  </w:num>
  <w:num w:numId="5" w16cid:durableId="1535381608">
    <w:abstractNumId w:val="6"/>
  </w:num>
  <w:num w:numId="6" w16cid:durableId="1855486635">
    <w:abstractNumId w:val="1"/>
  </w:num>
  <w:num w:numId="7" w16cid:durableId="1323967423">
    <w:abstractNumId w:val="3"/>
  </w:num>
  <w:num w:numId="8" w16cid:durableId="92310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29"/>
    <w:rsid w:val="0014794E"/>
    <w:rsid w:val="00267B6E"/>
    <w:rsid w:val="00270777"/>
    <w:rsid w:val="00463366"/>
    <w:rsid w:val="00AC1529"/>
    <w:rsid w:val="00C063D6"/>
    <w:rsid w:val="00D00D24"/>
    <w:rsid w:val="00E2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D844206"/>
  <w15:chartTrackingRefBased/>
  <w15:docId w15:val="{54C511CA-B06C-4061-8061-0796FD95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5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5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5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5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5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529"/>
    <w:rPr>
      <w:rFonts w:eastAsiaTheme="majorEastAsia" w:cstheme="majorBidi"/>
      <w:color w:val="272727" w:themeColor="text1" w:themeTint="D8"/>
    </w:rPr>
  </w:style>
  <w:style w:type="paragraph" w:styleId="Title">
    <w:name w:val="Title"/>
    <w:basedOn w:val="Normal"/>
    <w:next w:val="Normal"/>
    <w:link w:val="TitleChar"/>
    <w:uiPriority w:val="10"/>
    <w:qFormat/>
    <w:rsid w:val="00AC1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529"/>
    <w:pPr>
      <w:spacing w:before="160"/>
      <w:jc w:val="center"/>
    </w:pPr>
    <w:rPr>
      <w:i/>
      <w:iCs/>
      <w:color w:val="404040" w:themeColor="text1" w:themeTint="BF"/>
    </w:rPr>
  </w:style>
  <w:style w:type="character" w:customStyle="1" w:styleId="QuoteChar">
    <w:name w:val="Quote Char"/>
    <w:basedOn w:val="DefaultParagraphFont"/>
    <w:link w:val="Quote"/>
    <w:uiPriority w:val="29"/>
    <w:rsid w:val="00AC1529"/>
    <w:rPr>
      <w:i/>
      <w:iCs/>
      <w:color w:val="404040" w:themeColor="text1" w:themeTint="BF"/>
    </w:rPr>
  </w:style>
  <w:style w:type="paragraph" w:styleId="ListParagraph">
    <w:name w:val="List Paragraph"/>
    <w:basedOn w:val="Normal"/>
    <w:uiPriority w:val="34"/>
    <w:qFormat/>
    <w:rsid w:val="00AC1529"/>
    <w:pPr>
      <w:ind w:left="720"/>
      <w:contextualSpacing/>
    </w:pPr>
  </w:style>
  <w:style w:type="character" w:styleId="IntenseEmphasis">
    <w:name w:val="Intense Emphasis"/>
    <w:basedOn w:val="DefaultParagraphFont"/>
    <w:uiPriority w:val="21"/>
    <w:qFormat/>
    <w:rsid w:val="00AC1529"/>
    <w:rPr>
      <w:i/>
      <w:iCs/>
      <w:color w:val="0F4761" w:themeColor="accent1" w:themeShade="BF"/>
    </w:rPr>
  </w:style>
  <w:style w:type="paragraph" w:styleId="IntenseQuote">
    <w:name w:val="Intense Quote"/>
    <w:basedOn w:val="Normal"/>
    <w:next w:val="Normal"/>
    <w:link w:val="IntenseQuoteChar"/>
    <w:uiPriority w:val="30"/>
    <w:qFormat/>
    <w:rsid w:val="00AC1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529"/>
    <w:rPr>
      <w:i/>
      <w:iCs/>
      <w:color w:val="0F4761" w:themeColor="accent1" w:themeShade="BF"/>
    </w:rPr>
  </w:style>
  <w:style w:type="character" w:styleId="IntenseReference">
    <w:name w:val="Intense Reference"/>
    <w:basedOn w:val="DefaultParagraphFont"/>
    <w:uiPriority w:val="32"/>
    <w:qFormat/>
    <w:rsid w:val="00AC1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9068">
      <w:bodyDiv w:val="1"/>
      <w:marLeft w:val="0"/>
      <w:marRight w:val="0"/>
      <w:marTop w:val="0"/>
      <w:marBottom w:val="0"/>
      <w:divBdr>
        <w:top w:val="none" w:sz="0" w:space="0" w:color="auto"/>
        <w:left w:val="none" w:sz="0" w:space="0" w:color="auto"/>
        <w:bottom w:val="none" w:sz="0" w:space="0" w:color="auto"/>
        <w:right w:val="none" w:sz="0" w:space="0" w:color="auto"/>
      </w:divBdr>
      <w:divsChild>
        <w:div w:id="214395343">
          <w:marLeft w:val="0"/>
          <w:marRight w:val="0"/>
          <w:marTop w:val="0"/>
          <w:marBottom w:val="0"/>
          <w:divBdr>
            <w:top w:val="none" w:sz="0" w:space="0" w:color="auto"/>
            <w:left w:val="none" w:sz="0" w:space="0" w:color="auto"/>
            <w:bottom w:val="none" w:sz="0" w:space="0" w:color="auto"/>
            <w:right w:val="none" w:sz="0" w:space="0" w:color="auto"/>
          </w:divBdr>
        </w:div>
        <w:div w:id="1351106702">
          <w:marLeft w:val="0"/>
          <w:marRight w:val="0"/>
          <w:marTop w:val="0"/>
          <w:marBottom w:val="0"/>
          <w:divBdr>
            <w:top w:val="none" w:sz="0" w:space="0" w:color="auto"/>
            <w:left w:val="none" w:sz="0" w:space="0" w:color="auto"/>
            <w:bottom w:val="none" w:sz="0" w:space="0" w:color="auto"/>
            <w:right w:val="none" w:sz="0" w:space="0" w:color="auto"/>
          </w:divBdr>
        </w:div>
        <w:div w:id="722362852">
          <w:marLeft w:val="0"/>
          <w:marRight w:val="0"/>
          <w:marTop w:val="0"/>
          <w:marBottom w:val="0"/>
          <w:divBdr>
            <w:top w:val="none" w:sz="0" w:space="0" w:color="auto"/>
            <w:left w:val="none" w:sz="0" w:space="0" w:color="auto"/>
            <w:bottom w:val="none" w:sz="0" w:space="0" w:color="auto"/>
            <w:right w:val="none" w:sz="0" w:space="0" w:color="auto"/>
          </w:divBdr>
        </w:div>
        <w:div w:id="2069720642">
          <w:marLeft w:val="0"/>
          <w:marRight w:val="0"/>
          <w:marTop w:val="0"/>
          <w:marBottom w:val="0"/>
          <w:divBdr>
            <w:top w:val="none" w:sz="0" w:space="0" w:color="auto"/>
            <w:left w:val="none" w:sz="0" w:space="0" w:color="auto"/>
            <w:bottom w:val="none" w:sz="0" w:space="0" w:color="auto"/>
            <w:right w:val="none" w:sz="0" w:space="0" w:color="auto"/>
          </w:divBdr>
        </w:div>
        <w:div w:id="256211925">
          <w:marLeft w:val="0"/>
          <w:marRight w:val="0"/>
          <w:marTop w:val="0"/>
          <w:marBottom w:val="0"/>
          <w:divBdr>
            <w:top w:val="none" w:sz="0" w:space="0" w:color="auto"/>
            <w:left w:val="none" w:sz="0" w:space="0" w:color="auto"/>
            <w:bottom w:val="none" w:sz="0" w:space="0" w:color="auto"/>
            <w:right w:val="none" w:sz="0" w:space="0" w:color="auto"/>
          </w:divBdr>
        </w:div>
        <w:div w:id="1176194169">
          <w:marLeft w:val="0"/>
          <w:marRight w:val="0"/>
          <w:marTop w:val="0"/>
          <w:marBottom w:val="0"/>
          <w:divBdr>
            <w:top w:val="none" w:sz="0" w:space="0" w:color="auto"/>
            <w:left w:val="none" w:sz="0" w:space="0" w:color="auto"/>
            <w:bottom w:val="none" w:sz="0" w:space="0" w:color="auto"/>
            <w:right w:val="none" w:sz="0" w:space="0" w:color="auto"/>
          </w:divBdr>
        </w:div>
        <w:div w:id="1307781402">
          <w:marLeft w:val="0"/>
          <w:marRight w:val="0"/>
          <w:marTop w:val="0"/>
          <w:marBottom w:val="0"/>
          <w:divBdr>
            <w:top w:val="none" w:sz="0" w:space="0" w:color="auto"/>
            <w:left w:val="none" w:sz="0" w:space="0" w:color="auto"/>
            <w:bottom w:val="none" w:sz="0" w:space="0" w:color="auto"/>
            <w:right w:val="none" w:sz="0" w:space="0" w:color="auto"/>
          </w:divBdr>
        </w:div>
        <w:div w:id="880823796">
          <w:marLeft w:val="0"/>
          <w:marRight w:val="0"/>
          <w:marTop w:val="0"/>
          <w:marBottom w:val="0"/>
          <w:divBdr>
            <w:top w:val="none" w:sz="0" w:space="0" w:color="auto"/>
            <w:left w:val="none" w:sz="0" w:space="0" w:color="auto"/>
            <w:bottom w:val="none" w:sz="0" w:space="0" w:color="auto"/>
            <w:right w:val="none" w:sz="0" w:space="0" w:color="auto"/>
          </w:divBdr>
        </w:div>
      </w:divsChild>
    </w:div>
    <w:div w:id="728842580">
      <w:bodyDiv w:val="1"/>
      <w:marLeft w:val="0"/>
      <w:marRight w:val="0"/>
      <w:marTop w:val="0"/>
      <w:marBottom w:val="0"/>
      <w:divBdr>
        <w:top w:val="none" w:sz="0" w:space="0" w:color="auto"/>
        <w:left w:val="none" w:sz="0" w:space="0" w:color="auto"/>
        <w:bottom w:val="none" w:sz="0" w:space="0" w:color="auto"/>
        <w:right w:val="none" w:sz="0" w:space="0" w:color="auto"/>
      </w:divBdr>
      <w:divsChild>
        <w:div w:id="961500063">
          <w:marLeft w:val="0"/>
          <w:marRight w:val="0"/>
          <w:marTop w:val="0"/>
          <w:marBottom w:val="0"/>
          <w:divBdr>
            <w:top w:val="none" w:sz="0" w:space="0" w:color="auto"/>
            <w:left w:val="none" w:sz="0" w:space="0" w:color="auto"/>
            <w:bottom w:val="none" w:sz="0" w:space="0" w:color="auto"/>
            <w:right w:val="none" w:sz="0" w:space="0" w:color="auto"/>
          </w:divBdr>
          <w:divsChild>
            <w:div w:id="60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7015">
      <w:bodyDiv w:val="1"/>
      <w:marLeft w:val="0"/>
      <w:marRight w:val="0"/>
      <w:marTop w:val="0"/>
      <w:marBottom w:val="0"/>
      <w:divBdr>
        <w:top w:val="none" w:sz="0" w:space="0" w:color="auto"/>
        <w:left w:val="none" w:sz="0" w:space="0" w:color="auto"/>
        <w:bottom w:val="none" w:sz="0" w:space="0" w:color="auto"/>
        <w:right w:val="none" w:sz="0" w:space="0" w:color="auto"/>
      </w:divBdr>
      <w:divsChild>
        <w:div w:id="242684711">
          <w:marLeft w:val="0"/>
          <w:marRight w:val="0"/>
          <w:marTop w:val="0"/>
          <w:marBottom w:val="0"/>
          <w:divBdr>
            <w:top w:val="none" w:sz="0" w:space="0" w:color="auto"/>
            <w:left w:val="none" w:sz="0" w:space="0" w:color="auto"/>
            <w:bottom w:val="none" w:sz="0" w:space="0" w:color="auto"/>
            <w:right w:val="none" w:sz="0" w:space="0" w:color="auto"/>
          </w:divBdr>
        </w:div>
        <w:div w:id="1173643996">
          <w:marLeft w:val="0"/>
          <w:marRight w:val="0"/>
          <w:marTop w:val="0"/>
          <w:marBottom w:val="0"/>
          <w:divBdr>
            <w:top w:val="none" w:sz="0" w:space="0" w:color="auto"/>
            <w:left w:val="none" w:sz="0" w:space="0" w:color="auto"/>
            <w:bottom w:val="none" w:sz="0" w:space="0" w:color="auto"/>
            <w:right w:val="none" w:sz="0" w:space="0" w:color="auto"/>
          </w:divBdr>
        </w:div>
        <w:div w:id="824860023">
          <w:marLeft w:val="0"/>
          <w:marRight w:val="0"/>
          <w:marTop w:val="0"/>
          <w:marBottom w:val="0"/>
          <w:divBdr>
            <w:top w:val="none" w:sz="0" w:space="0" w:color="auto"/>
            <w:left w:val="none" w:sz="0" w:space="0" w:color="auto"/>
            <w:bottom w:val="none" w:sz="0" w:space="0" w:color="auto"/>
            <w:right w:val="none" w:sz="0" w:space="0" w:color="auto"/>
          </w:divBdr>
        </w:div>
        <w:div w:id="1104619083">
          <w:marLeft w:val="0"/>
          <w:marRight w:val="0"/>
          <w:marTop w:val="0"/>
          <w:marBottom w:val="0"/>
          <w:divBdr>
            <w:top w:val="none" w:sz="0" w:space="0" w:color="auto"/>
            <w:left w:val="none" w:sz="0" w:space="0" w:color="auto"/>
            <w:bottom w:val="none" w:sz="0" w:space="0" w:color="auto"/>
            <w:right w:val="none" w:sz="0" w:space="0" w:color="auto"/>
          </w:divBdr>
        </w:div>
        <w:div w:id="659576482">
          <w:marLeft w:val="0"/>
          <w:marRight w:val="0"/>
          <w:marTop w:val="0"/>
          <w:marBottom w:val="0"/>
          <w:divBdr>
            <w:top w:val="none" w:sz="0" w:space="0" w:color="auto"/>
            <w:left w:val="none" w:sz="0" w:space="0" w:color="auto"/>
            <w:bottom w:val="none" w:sz="0" w:space="0" w:color="auto"/>
            <w:right w:val="none" w:sz="0" w:space="0" w:color="auto"/>
          </w:divBdr>
        </w:div>
        <w:div w:id="642733038">
          <w:marLeft w:val="0"/>
          <w:marRight w:val="0"/>
          <w:marTop w:val="0"/>
          <w:marBottom w:val="0"/>
          <w:divBdr>
            <w:top w:val="none" w:sz="0" w:space="0" w:color="auto"/>
            <w:left w:val="none" w:sz="0" w:space="0" w:color="auto"/>
            <w:bottom w:val="none" w:sz="0" w:space="0" w:color="auto"/>
            <w:right w:val="none" w:sz="0" w:space="0" w:color="auto"/>
          </w:divBdr>
        </w:div>
        <w:div w:id="1625889569">
          <w:marLeft w:val="0"/>
          <w:marRight w:val="0"/>
          <w:marTop w:val="0"/>
          <w:marBottom w:val="0"/>
          <w:divBdr>
            <w:top w:val="none" w:sz="0" w:space="0" w:color="auto"/>
            <w:left w:val="none" w:sz="0" w:space="0" w:color="auto"/>
            <w:bottom w:val="none" w:sz="0" w:space="0" w:color="auto"/>
            <w:right w:val="none" w:sz="0" w:space="0" w:color="auto"/>
          </w:divBdr>
        </w:div>
        <w:div w:id="1080717802">
          <w:marLeft w:val="0"/>
          <w:marRight w:val="0"/>
          <w:marTop w:val="0"/>
          <w:marBottom w:val="0"/>
          <w:divBdr>
            <w:top w:val="none" w:sz="0" w:space="0" w:color="auto"/>
            <w:left w:val="none" w:sz="0" w:space="0" w:color="auto"/>
            <w:bottom w:val="none" w:sz="0" w:space="0" w:color="auto"/>
            <w:right w:val="none" w:sz="0" w:space="0" w:color="auto"/>
          </w:divBdr>
        </w:div>
      </w:divsChild>
    </w:div>
    <w:div w:id="1697929367">
      <w:bodyDiv w:val="1"/>
      <w:marLeft w:val="0"/>
      <w:marRight w:val="0"/>
      <w:marTop w:val="0"/>
      <w:marBottom w:val="0"/>
      <w:divBdr>
        <w:top w:val="none" w:sz="0" w:space="0" w:color="auto"/>
        <w:left w:val="none" w:sz="0" w:space="0" w:color="auto"/>
        <w:bottom w:val="none" w:sz="0" w:space="0" w:color="auto"/>
        <w:right w:val="none" w:sz="0" w:space="0" w:color="auto"/>
      </w:divBdr>
      <w:divsChild>
        <w:div w:id="136189609">
          <w:marLeft w:val="0"/>
          <w:marRight w:val="0"/>
          <w:marTop w:val="0"/>
          <w:marBottom w:val="0"/>
          <w:divBdr>
            <w:top w:val="none" w:sz="0" w:space="0" w:color="auto"/>
            <w:left w:val="none" w:sz="0" w:space="0" w:color="auto"/>
            <w:bottom w:val="none" w:sz="0" w:space="0" w:color="auto"/>
            <w:right w:val="none" w:sz="0" w:space="0" w:color="auto"/>
          </w:divBdr>
          <w:divsChild>
            <w:div w:id="8720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6</cp:revision>
  <dcterms:created xsi:type="dcterms:W3CDTF">2025-05-03T14:49:00Z</dcterms:created>
  <dcterms:modified xsi:type="dcterms:W3CDTF">2025-05-06T16:43:00Z</dcterms:modified>
</cp:coreProperties>
</file>