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№12 по имитационному моделированию</w:t>
      </w:r>
    </w:p>
    <w:p>
      <w:pPr>
        <w:pStyle w:val="Author"/>
      </w:pPr>
      <w:r>
        <w:t xml:space="preserve">Дзахмишев Камбулат Заурович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Смоделировать простой протокол передачи данных в CPN Tools.</w:t>
      </w:r>
    </w:p>
    <w:bookmarkEnd w:id="20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fig:001"/>
    <w:p>
      <w:pPr>
        <w:pStyle w:val="CaptionedFigure"/>
      </w:pPr>
      <w:r>
        <w:drawing>
          <wp:inline>
            <wp:extent cx="3733800" cy="3042561"/>
            <wp:effectExtent b="0" l="0" r="0" t="0"/>
            <wp:docPr descr="Рис. 1: Начальный граф." title="" id="2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2/1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Начальный граф.</w:t>
      </w:r>
    </w:p>
    <w:bookmarkEnd w:id="24"/>
    <w:bookmarkEnd w:id="25"/>
    <w:bookmarkStart w:id="30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9" w:name="fig:002"/>
    <w:p>
      <w:pPr>
        <w:pStyle w:val="CaptionedFigure"/>
      </w:pPr>
      <w:r>
        <w:drawing>
          <wp:inline>
            <wp:extent cx="1995054" cy="1502685"/>
            <wp:effectExtent b="0" l="0" r="0" t="0"/>
            <wp:docPr descr="Рис. 2: Первая декларация." title="" id="2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2/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054" cy="1502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Первая декларация.</w:t>
      </w:r>
    </w:p>
    <w:bookmarkEnd w:id="29"/>
    <w:bookmarkEnd w:id="30"/>
    <w:bookmarkStart w:id="35" w:name="выполнение-лабораторной-работы-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4" w:name="fig:003"/>
    <w:p>
      <w:pPr>
        <w:pStyle w:val="CaptionedFigure"/>
      </w:pPr>
      <w:r>
        <w:drawing>
          <wp:inline>
            <wp:extent cx="3733800" cy="2827714"/>
            <wp:effectExtent b="0" l="0" r="0" t="0"/>
            <wp:docPr descr="Рис. 3: Добавление промежуточных состояний." title="" id="3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2/1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промежуточных состояний.</w:t>
      </w:r>
    </w:p>
    <w:bookmarkEnd w:id="34"/>
    <w:bookmarkEnd w:id="35"/>
    <w:bookmarkStart w:id="40" w:name="выполнение-лабораторной-работы-3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9" w:name="fig:004"/>
    <w:p>
      <w:pPr>
        <w:pStyle w:val="CaptionedFigure"/>
      </w:pPr>
      <w:r>
        <w:drawing>
          <wp:inline>
            <wp:extent cx="3733800" cy="2808013"/>
            <wp:effectExtent b="0" l="0" r="0" t="0"/>
            <wp:docPr descr="Рис. 4: Окончательный вид модели простого протокола передачи данных." title="" id="3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2/1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Окончательный вид модели простого протокола передачи данных.</w:t>
      </w:r>
    </w:p>
    <w:bookmarkEnd w:id="39"/>
    <w:bookmarkEnd w:id="40"/>
    <w:bookmarkStart w:id="45" w:name="выполнение-лабораторной-работы-4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bookmarkStart w:id="44" w:name="fig:005"/>
    <w:p>
      <w:pPr>
        <w:pStyle w:val="CaptionedFigure"/>
      </w:pPr>
      <w:r>
        <w:drawing>
          <wp:inline>
            <wp:extent cx="2557762" cy="1214937"/>
            <wp:effectExtent b="0" l="0" r="0" t="0"/>
            <wp:docPr descr="Рис. 5: Вторая декларация." title="" id="4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2/1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62" cy="121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Вторая декларация.</w:t>
      </w:r>
    </w:p>
    <w:bookmarkEnd w:id="44"/>
    <w:bookmarkEnd w:id="45"/>
    <w:bookmarkStart w:id="46" w:name="вывод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получилось смоделировать простой протокол передачи данных в CPN Tools.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Дзахмишев Камбулат Заурович</dc:creator>
  <dc:language>ru-RU</dc:language>
  <cp:keywords/>
  <dcterms:created xsi:type="dcterms:W3CDTF">2025-04-26T16:10:22Z</dcterms:created>
  <dcterms:modified xsi:type="dcterms:W3CDTF">2025-04-26T16:10:22Z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№12 по имитационному моделированию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