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Subtitle"/>
      </w:pPr>
      <w:r>
        <w:t xml:space="preserve">Лабораторная №2 по имитационному моделированию</w:t>
      </w:r>
    </w:p>
    <w:p>
      <w:pPr>
        <w:pStyle w:val="Author"/>
      </w:pPr>
      <w:r>
        <w:t xml:space="preserve">Дзахмишев Камбулат Заурович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Описание моделируемой сети:</w:t>
      </w:r>
      <w:r>
        <w:t xml:space="preserve"> </w:t>
      </w:r>
      <w:r>
        <w:t xml:space="preserve">– сеть состоит из 6 узлов;</w:t>
      </w:r>
      <w:r>
        <w:t xml:space="preserve"> </w:t>
      </w:r>
      <w:r>
        <w:t xml:space="preserve">– между всеми узлами установлено дуплексное соединение с различными пропуск-</w:t>
      </w:r>
      <w:r>
        <w:t xml:space="preserve"> </w:t>
      </w:r>
      <w:r>
        <w:t xml:space="preserve">ной способностью и задержкой 10 мс (см. рис. 2.4);</w:t>
      </w:r>
      <w:r>
        <w:t xml:space="preserve"> </w:t>
      </w:r>
      <w:r>
        <w:t xml:space="preserve">– узел r1 использует очередь с дисциплиной RED для накопления пакетов, макси-</w:t>
      </w:r>
      <w:r>
        <w:t xml:space="preserve"> </w:t>
      </w:r>
      <w:r>
        <w:t xml:space="preserve">мальный размер которой составляет 25;</w:t>
      </w:r>
      <w:r>
        <w:t xml:space="preserve"> </w:t>
      </w:r>
      <w:r>
        <w:t xml:space="preserve">– TCP-источники на узлах s1 и s2 подключаются к TCP-приёмнику на узле s3;</w:t>
      </w:r>
      <w:r>
        <w:t xml:space="preserve"> </w:t>
      </w:r>
      <w:r>
        <w:t xml:space="preserve">– генераторы трафика FTP прикреплены к TCP-агентам.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разработать сценарий, реализующий модель согласно рис. 2.4, построить в Xgraph график изменения TCP-окна, график изменения длины очереди и средней длины очереди</w:t>
      </w:r>
    </w:p>
    <w:bookmarkEnd w:id="21"/>
    <w:bookmarkStart w:id="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fig:001"/>
    <w:p>
      <w:pPr>
        <w:pStyle w:val="CaptionedFigure"/>
      </w:pPr>
      <w:r>
        <w:drawing>
          <wp:inline>
            <wp:extent cx="3733800" cy="5022766"/>
            <wp:effectExtent b="0" l="0" r="0" t="0"/>
            <wp:docPr descr="Рис. 1: Создание модели по приведённому коду." title="" id="2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модели по приведённому коду.</w:t>
      </w:r>
    </w:p>
    <w:bookmarkEnd w:id="25"/>
    <w:bookmarkEnd w:id="26"/>
    <w:bookmarkStart w:id="31" w:name="выполнение-лабораторной-работ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0" w:name="fig:002"/>
    <w:p>
      <w:pPr>
        <w:pStyle w:val="CaptionedFigure"/>
      </w:pPr>
      <w:r>
        <w:drawing>
          <wp:inline>
            <wp:extent cx="3733800" cy="4028074"/>
            <wp:effectExtent b="0" l="0" r="0" t="0"/>
            <wp:docPr descr="Рис. 2: Создание модели по приведённому коду." title="" id="2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8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модели по приведённому коду.</w:t>
      </w:r>
    </w:p>
    <w:bookmarkEnd w:id="30"/>
    <w:bookmarkEnd w:id="31"/>
    <w:bookmarkStart w:id="36" w:name="выполнение-лабораторной-работы-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bookmarkStart w:id="35" w:name="fig:003"/>
    <w:p>
      <w:pPr>
        <w:pStyle w:val="CaptionedFigure"/>
      </w:pPr>
      <w:r>
        <w:drawing>
          <wp:inline>
            <wp:extent cx="3733800" cy="3964435"/>
            <wp:effectExtent b="0" l="0" r="0" t="0"/>
            <wp:docPr descr="Рис. 3: Создание модели по приведённому коду." title="" id="3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модели по приведённому коду.</w:t>
      </w:r>
    </w:p>
    <w:bookmarkEnd w:id="35"/>
    <w:bookmarkEnd w:id="36"/>
    <w:bookmarkStart w:id="41" w:name="выполнение-лабораторной-работы-3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bookmarkStart w:id="40" w:name="fig:004"/>
    <w:p>
      <w:pPr>
        <w:pStyle w:val="CaptionedFigure"/>
      </w:pPr>
      <w:r>
        <w:drawing>
          <wp:inline>
            <wp:extent cx="3733800" cy="2797927"/>
            <wp:effectExtent b="0" l="0" r="0" t="0"/>
            <wp:docPr descr="Рис. 4: Создание модели по приведённому коду." title="" id="3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модели по приведённому коду.</w:t>
      </w:r>
    </w:p>
    <w:bookmarkEnd w:id="40"/>
    <w:bookmarkEnd w:id="41"/>
    <w:bookmarkStart w:id="46" w:name="выполнение-лабораторной-работы-4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bookmarkStart w:id="45" w:name="fig:005"/>
    <w:p>
      <w:pPr>
        <w:pStyle w:val="CaptionedFigure"/>
      </w:pPr>
      <w:r>
        <w:drawing>
          <wp:inline>
            <wp:extent cx="3733800" cy="3310758"/>
            <wp:effectExtent b="0" l="0" r="0" t="0"/>
            <wp:docPr descr="Рис. 5: Создание модели по приведённому коду." title="" id="4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модели по приведённому коду.</w:t>
      </w:r>
    </w:p>
    <w:bookmarkEnd w:id="45"/>
    <w:bookmarkEnd w:id="46"/>
    <w:bookmarkStart w:id="51" w:name="выполнение-лабораторной-работы-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bookmarkStart w:id="50" w:name="fig:006"/>
      <w:r>
        <w:drawing>
          <wp:inline>
            <wp:extent cx="3733800" cy="232938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End w:id="51"/>
    <w:bookmarkStart w:id="56" w:name="выполнение-лабораторной-работы-6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bookmarkStart w:id="55" w:name="fig:007"/>
    <w:p>
      <w:pPr>
        <w:pStyle w:val="CaptionedFigure"/>
      </w:pPr>
      <w:r>
        <w:drawing>
          <wp:inline>
            <wp:extent cx="3733800" cy="2550198"/>
            <wp:effectExtent b="0" l="0" r="0" t="0"/>
            <wp:docPr descr="Рис. 6: График агента Reno" title="" id="5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 агента Reno</w:t>
      </w:r>
    </w:p>
    <w:bookmarkEnd w:id="55"/>
    <w:bookmarkEnd w:id="56"/>
    <w:bookmarkStart w:id="61" w:name="выполнение-лабораторной-работы-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bookmarkStart w:id="60" w:name="fig:008"/>
    <w:p>
      <w:pPr>
        <w:pStyle w:val="CaptionedFigure"/>
      </w:pPr>
      <w:r>
        <w:drawing>
          <wp:inline>
            <wp:extent cx="3733800" cy="2449807"/>
            <wp:effectExtent b="0" l="0" r="0" t="0"/>
            <wp:docPr descr="Рис. 7: График агента NewReno" title="" id="5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График агента NewReno</w:t>
      </w:r>
    </w:p>
    <w:bookmarkEnd w:id="60"/>
    <w:bookmarkEnd w:id="61"/>
    <w:bookmarkStart w:id="66" w:name="выполнение-лабораторной-работы-8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Выполнение лабораторной работы</w:t>
      </w:r>
    </w:p>
    <w:bookmarkStart w:id="65" w:name="fig:009"/>
    <w:p>
      <w:pPr>
        <w:pStyle w:val="CaptionedFigure"/>
      </w:pPr>
      <w:r>
        <w:drawing>
          <wp:inline>
            <wp:extent cx="3733800" cy="2542498"/>
            <wp:effectExtent b="0" l="0" r="0" t="0"/>
            <wp:docPr descr="Рис. 8: График агента Vegas" title="" id="6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2/1/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График агента Vegas</w:t>
      </w:r>
    </w:p>
    <w:bookmarkEnd w:id="65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составил графики трафика разных агентов и провел сравнительный анализ каждого из них, а также поменял цвета отображаемых показателей и заголовки.</w:t>
      </w:r>
    </w:p>
    <w:bookmarkEnd w:id="67"/>
    <w:bookmarkStart w:id="69" w:name="список-литературы"/>
    <w:p>
      <w:pPr>
        <w:pStyle w:val="Heading1"/>
      </w:pPr>
      <w:r>
        <w:t xml:space="preserve">Список литературы</w:t>
      </w:r>
    </w:p>
    <w:bookmarkStart w:id="68" w:name="refs"/>
    <w:bookmarkEnd w:id="68"/>
    <w:bookmarkEnd w:id="6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Дзахмишев Камбулат Заурович</dc:creator>
  <dc:language>ru-RU</dc:language>
  <cp:keywords/>
  <dcterms:created xsi:type="dcterms:W3CDTF">2025-02-22T19:39:05Z</dcterms:created>
  <dcterms:modified xsi:type="dcterms:W3CDTF">2025-02-22T19:39:05Z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№2 по имитационному моделированию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