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69.png" ContentType="image/png"/>
  <Override PartName="/word/media/rId74.png" ContentType="image/png"/>
  <Override PartName="/word/media/rId79.png" ContentType="image/png"/>
  <Override PartName="/word/media/rId29.png" ContentType="image/png"/>
  <Override PartName="/word/media/rId34.png" ContentType="image/png"/>
  <Override PartName="/word/media/rId39.png" ContentType="image/png"/>
  <Override PartName="/word/media/rId44.png" ContentType="image/png"/>
  <Override PartName="/word/media/rId49.png" ContentType="image/png"/>
  <Override PartName="/word/media/rId54.png" ContentType="image/png"/>
  <Override PartName="/word/media/rId59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</w:t>
      </w:r>
    </w:p>
    <w:p>
      <w:pPr>
        <w:pStyle w:val="Subtitle"/>
      </w:pPr>
      <w:r>
        <w:t xml:space="preserve">Лабораторная №4 по имитационному моделированию</w:t>
      </w:r>
    </w:p>
    <w:p>
      <w:pPr>
        <w:pStyle w:val="Author"/>
      </w:pPr>
      <w:r>
        <w:t xml:space="preserve">Дзахмишев Камбулат Заурович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Описание моделируемой сети:</w:t>
      </w:r>
      <w:r>
        <w:t xml:space="preserve"> </w:t>
      </w:r>
      <w:r>
        <w:t xml:space="preserve">– сеть состоит из 6 узлов;</w:t>
      </w:r>
      <w:r>
        <w:t xml:space="preserve"> </w:t>
      </w:r>
      <w:r>
        <w:t xml:space="preserve">– между всеми узлами установлено дуплексное соединение с различными пропуск-</w:t>
      </w:r>
      <w:r>
        <w:t xml:space="preserve"> </w:t>
      </w:r>
      <w:r>
        <w:t xml:space="preserve">ной способностью и задержкой 10 мс (см. рис. 2.4);</w:t>
      </w:r>
      <w:r>
        <w:t xml:space="preserve"> </w:t>
      </w:r>
      <w:r>
        <w:t xml:space="preserve">– узел r1 использует очередь с дисциплиной RED для накопления пакетов, макси-</w:t>
      </w:r>
      <w:r>
        <w:t xml:space="preserve"> </w:t>
      </w:r>
      <w:r>
        <w:t xml:space="preserve">мальный размер которой составляет 25;</w:t>
      </w:r>
      <w:r>
        <w:t xml:space="preserve"> </w:t>
      </w:r>
      <w:r>
        <w:t xml:space="preserve">– TCP-источники на узлах s1 и s2 подключаются к TCP-приёмнику на узле s3;</w:t>
      </w:r>
      <w:r>
        <w:t xml:space="preserve"> </w:t>
      </w:r>
      <w:r>
        <w:t xml:space="preserve">– генераторы трафика FTP прикреплены к TCP-агентам.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Т– сеть состоит из N TCP-источников, N TCP-приёмников, двух маршрутизаторов</w:t>
      </w:r>
      <w:r>
        <w:t xml:space="preserve"> </w:t>
      </w:r>
      <w:r>
        <w:t xml:space="preserve">R1 и R2 между источниками и приёмниками (N — не менее 20);</w:t>
      </w:r>
      <w:r>
        <w:t xml:space="preserve"> </w:t>
      </w:r>
      <w:r>
        <w:t xml:space="preserve">– между TCP-источниками и первым маршрутизатором установлены дуплексные</w:t>
      </w:r>
      <w:r>
        <w:t xml:space="preserve"> </w:t>
      </w:r>
      <w:r>
        <w:t xml:space="preserve">соединения с пропускной способностью 100 Мбит/с и задержкой 20 мс очередью</w:t>
      </w:r>
      <w:r>
        <w:t xml:space="preserve"> </w:t>
      </w:r>
      <w:r>
        <w:t xml:space="preserve">типа DropTail;</w:t>
      </w:r>
      <w:r>
        <w:t xml:space="preserve"> </w:t>
      </w:r>
      <w:r>
        <w:t xml:space="preserve">– между TCP-приёмниками и вторым маршрутизатором установлены дуплексные</w:t>
      </w:r>
      <w:r>
        <w:t xml:space="preserve"> </w:t>
      </w:r>
      <w:r>
        <w:t xml:space="preserve">соединения с пропускной способностью 100 Мбит/с и задержкой 20 мс очередью</w:t>
      </w:r>
      <w:r>
        <w:t xml:space="preserve"> </w:t>
      </w:r>
      <w:r>
        <w:t xml:space="preserve">типа DropTail;</w:t>
      </w:r>
    </w:p>
    <w:bookmarkEnd w:id="21"/>
    <w:bookmarkStart w:id="22" w:name="задание-1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– между маршрутизаторами установлено симплексное соединение (R1–R2) с про-</w:t>
      </w:r>
      <w:r>
        <w:t xml:space="preserve"> </w:t>
      </w:r>
      <w:r>
        <w:t xml:space="preserve">пускной способностью 20 Мбит/с и задержкой 15 мс очередью типа RED,</w:t>
      </w:r>
      <w:r>
        <w:t xml:space="preserve"> </w:t>
      </w:r>
      <w:r>
        <w:t xml:space="preserve">размером буфера 300 пакетов; в обратную сторону — симплексное соедине-</w:t>
      </w:r>
      <w:r>
        <w:t xml:space="preserve"> </w:t>
      </w:r>
      <w:r>
        <w:t xml:space="preserve">ние (R2–R1) с пропускной способностью 15 Мбит/с и задержкой 20 мс очередью</w:t>
      </w:r>
      <w:r>
        <w:t xml:space="preserve"> </w:t>
      </w:r>
      <w:r>
        <w:t xml:space="preserve">типа DropTail;</w:t>
      </w:r>
      <w:r>
        <w:t xml:space="preserve"> </w:t>
      </w:r>
      <w:r>
        <w:t xml:space="preserve">– данные передаются по протоколу FTP поверх TCPReno;</w:t>
      </w:r>
      <w:r>
        <w:t xml:space="preserve"> </w:t>
      </w:r>
      <w:r>
        <w:t xml:space="preserve">– параметры алгоритма RED: qmin = 75, qmax = 150, qw = 0, 002, pmax = 0.1;</w:t>
      </w:r>
      <w:r>
        <w:t xml:space="preserve"> </w:t>
      </w:r>
      <w:r>
        <w:t xml:space="preserve">– максимальный размер TCP-окна 32; размер передаваемого пакета 500 байт; время</w:t>
      </w:r>
      <w:r>
        <w:t xml:space="preserve"> </w:t>
      </w:r>
      <w:r>
        <w:t xml:space="preserve">моделирования — не менее 20 единиц модельного времени.</w:t>
      </w:r>
    </w:p>
    <w:bookmarkEnd w:id="22"/>
    <w:bookmarkStart w:id="23" w:name="задание-2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Для приведённой схемы разработать имитационную модель в пакете NS-2.</w:t>
      </w:r>
    </w:p>
    <w:p>
      <w:pPr>
        <w:pStyle w:val="Compact"/>
        <w:numPr>
          <w:ilvl w:val="0"/>
          <w:numId w:val="1001"/>
        </w:numPr>
      </w:pPr>
      <w:r>
        <w:t xml:space="preserve">Построить график изменения размера окна TCP (в Xgraph и в GNUPlot);</w:t>
      </w:r>
    </w:p>
    <w:p>
      <w:pPr>
        <w:pStyle w:val="Compact"/>
        <w:numPr>
          <w:ilvl w:val="0"/>
          <w:numId w:val="1001"/>
        </w:numPr>
      </w:pPr>
      <w:r>
        <w:t xml:space="preserve">Построить график изменения длины очереди и средней длины очереди на первом</w:t>
      </w:r>
      <w:r>
        <w:t xml:space="preserve"> </w:t>
      </w:r>
      <w:r>
        <w:t xml:space="preserve">маршрутизаторе.</w:t>
      </w:r>
    </w:p>
    <w:p>
      <w:pPr>
        <w:pStyle w:val="Compact"/>
        <w:numPr>
          <w:ilvl w:val="0"/>
          <w:numId w:val="1001"/>
        </w:numPr>
      </w:pPr>
      <w:r>
        <w:t xml:space="preserve">Оформить отчёт о выполненной работе.</w:t>
      </w:r>
    </w:p>
    <w:bookmarkEnd w:id="23"/>
    <w:bookmarkStart w:id="28" w:name="выполнение-лаборатор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лабораторной работы</w:t>
      </w:r>
    </w:p>
    <w:bookmarkStart w:id="27" w:name="fig:001"/>
    <w:p>
      <w:pPr>
        <w:pStyle w:val="CaptionedFigure"/>
      </w:pPr>
      <w:r>
        <w:drawing>
          <wp:inline>
            <wp:extent cx="3733800" cy="4590640"/>
            <wp:effectExtent b="0" l="0" r="0" t="0"/>
            <wp:docPr descr="Рис. 1: Модель из самостоятельного задания." title="" id="25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9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Модель из самостоятельного задания.</w:t>
      </w:r>
    </w:p>
    <w:bookmarkEnd w:id="27"/>
    <w:bookmarkEnd w:id="28"/>
    <w:bookmarkStart w:id="33" w:name="выполнение-лабораторной-работы-1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Выполнение лабораторной работы</w:t>
      </w:r>
    </w:p>
    <w:bookmarkStart w:id="32" w:name="fig:002"/>
    <w:p>
      <w:pPr>
        <w:pStyle w:val="CaptionedFigure"/>
      </w:pPr>
      <w:r>
        <w:drawing>
          <wp:inline>
            <wp:extent cx="3733800" cy="4632788"/>
            <wp:effectExtent b="0" l="0" r="0" t="0"/>
            <wp:docPr descr="Рис. 2: Модель из самостоятельного задания." title="" id="30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32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Модель из самостоятельного задания.</w:t>
      </w:r>
    </w:p>
    <w:bookmarkEnd w:id="32"/>
    <w:bookmarkEnd w:id="33"/>
    <w:bookmarkStart w:id="38" w:name="выполнение-лабораторной-работы-2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Выполнение лабораторной работы</w:t>
      </w:r>
    </w:p>
    <w:bookmarkStart w:id="37" w:name="fig:003"/>
    <w:p>
      <w:pPr>
        <w:pStyle w:val="CaptionedFigure"/>
      </w:pPr>
      <w:r>
        <w:drawing>
          <wp:inline>
            <wp:extent cx="3733800" cy="4748871"/>
            <wp:effectExtent b="0" l="0" r="0" t="0"/>
            <wp:docPr descr="Рис. 3: Модель из самостоятельного задания." title="" id="35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48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Модель из самостоятельного задания.</w:t>
      </w:r>
    </w:p>
    <w:bookmarkEnd w:id="37"/>
    <w:bookmarkEnd w:id="38"/>
    <w:bookmarkStart w:id="43" w:name="выполнение-лабораторной-работы-3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Выполнение лабораторной работы</w:t>
      </w:r>
    </w:p>
    <w:bookmarkStart w:id="42" w:name="fig:004"/>
    <w:p>
      <w:pPr>
        <w:pStyle w:val="CaptionedFigure"/>
      </w:pPr>
      <w:r>
        <w:drawing>
          <wp:inline>
            <wp:extent cx="3733800" cy="1349212"/>
            <wp:effectExtent b="0" l="0" r="0" t="0"/>
            <wp:docPr descr="Рис. 4: Модель из самостоятельного задания." title="" id="40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9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Модель из самостоятельного задания.</w:t>
      </w:r>
    </w:p>
    <w:bookmarkEnd w:id="42"/>
    <w:bookmarkEnd w:id="43"/>
    <w:bookmarkStart w:id="48" w:name="выполнение-лабораторной-работы-4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Выполнение лабораторной работы</w:t>
      </w:r>
    </w:p>
    <w:bookmarkStart w:id="47" w:name="fig:005"/>
    <w:p>
      <w:pPr>
        <w:pStyle w:val="CaptionedFigure"/>
      </w:pPr>
      <w:r>
        <w:drawing>
          <wp:inline>
            <wp:extent cx="3733800" cy="2735307"/>
            <wp:effectExtent b="0" l="0" r="0" t="0"/>
            <wp:docPr descr="Рис. 5: Изменение размера окна TCP на всех источниках при N=30" title="" id="45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5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5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Изменение размера окна TCP на всех источниках при N=30</w:t>
      </w:r>
    </w:p>
    <w:bookmarkEnd w:id="47"/>
    <w:bookmarkEnd w:id="48"/>
    <w:bookmarkStart w:id="53" w:name="выполнение-лабораторной-работы-5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Выполнение лабораторной работы</w:t>
      </w:r>
    </w:p>
    <w:bookmarkStart w:id="52" w:name="fig:006"/>
    <w:p>
      <w:pPr>
        <w:pStyle w:val="CaptionedFigure"/>
      </w:pPr>
      <w:r>
        <w:drawing>
          <wp:inline>
            <wp:extent cx="3733800" cy="3159369"/>
            <wp:effectExtent b="0" l="0" r="0" t="0"/>
            <wp:docPr descr="Рис. 6: Изменение размера окна TCP на линке 1-го источника при N=30" title="" id="50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9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Изменение размера окна TCP на линке 1-го источника при N=30</w:t>
      </w:r>
    </w:p>
    <w:bookmarkEnd w:id="52"/>
    <w:bookmarkEnd w:id="53"/>
    <w:bookmarkStart w:id="58" w:name="выполнение-лабораторной-работы-6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Выполнение лабораторной работы</w:t>
      </w:r>
    </w:p>
    <w:bookmarkStart w:id="57" w:name="fig:007"/>
    <w:p>
      <w:pPr>
        <w:pStyle w:val="CaptionedFigure"/>
      </w:pPr>
      <w:r>
        <w:drawing>
          <wp:inline>
            <wp:extent cx="3733800" cy="3431576"/>
            <wp:effectExtent b="0" l="0" r="0" t="0"/>
            <wp:docPr descr="Рис. 7: Изменение размера средней длины очереди на линке (R1–R2)" title="" id="55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7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1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Изменение размера средней длины очереди на линке (R1–R2)</w:t>
      </w:r>
    </w:p>
    <w:bookmarkEnd w:id="57"/>
    <w:bookmarkEnd w:id="58"/>
    <w:bookmarkStart w:id="63" w:name="выполнение-лабораторной-работы-7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Выполнение лабораторной работы</w:t>
      </w:r>
    </w:p>
    <w:bookmarkStart w:id="62" w:name="fig:008"/>
    <w:p>
      <w:pPr>
        <w:pStyle w:val="CaptionedFigure"/>
      </w:pPr>
      <w:r>
        <w:drawing>
          <wp:inline>
            <wp:extent cx="3733800" cy="3781618"/>
            <wp:effectExtent b="0" l="0" r="0" t="0"/>
            <wp:docPr descr="Рис. 8: Изменение размера длины очереди на линке (R1–R2)" title="" id="60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8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1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Изменение размера длины очереди на линке (R1–R2)</w:t>
      </w:r>
    </w:p>
    <w:bookmarkEnd w:id="62"/>
    <w:bookmarkEnd w:id="63"/>
    <w:bookmarkStart w:id="68" w:name="выполнение-лабораторной-работы-8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Выполнение лабораторной работы</w:t>
      </w:r>
    </w:p>
    <w:bookmarkStart w:id="67" w:name="fig:009"/>
    <w:p>
      <w:pPr>
        <w:pStyle w:val="CaptionedFigure"/>
      </w:pPr>
      <w:r>
        <w:drawing>
          <wp:inline>
            <wp:extent cx="3733800" cy="2176814"/>
            <wp:effectExtent b="0" l="0" r="0" t="0"/>
            <wp:docPr descr="Рис. 9: Изменение размера окна TCP на всех источниках при N=30" title="" id="65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9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6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Изменение размера окна TCP на всех источниках при N=30</w:t>
      </w:r>
    </w:p>
    <w:bookmarkEnd w:id="67"/>
    <w:bookmarkEnd w:id="68"/>
    <w:bookmarkStart w:id="73" w:name="выполнение-лабораторной-работы-9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Выполнение лабораторной работы</w:t>
      </w:r>
    </w:p>
    <w:bookmarkStart w:id="72" w:name="fig:010"/>
    <w:p>
      <w:pPr>
        <w:pStyle w:val="CaptionedFigure"/>
      </w:pPr>
      <w:r>
        <w:drawing>
          <wp:inline>
            <wp:extent cx="3733800" cy="2170882"/>
            <wp:effectExtent b="0" l="0" r="0" t="0"/>
            <wp:docPr descr="Рис. 10: Изменение размера средней длины очереди на линке (R1–R2)" title="" id="70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1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0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размера средней длины очереди на линке (R1–R2)</w:t>
      </w:r>
    </w:p>
    <w:bookmarkEnd w:id="72"/>
    <w:bookmarkEnd w:id="73"/>
    <w:bookmarkStart w:id="78" w:name="выполнение-лабораторной-работы-10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Выполнение лабораторной работы</w:t>
      </w:r>
    </w:p>
    <w:bookmarkStart w:id="77" w:name="fig:011"/>
    <w:p>
      <w:pPr>
        <w:pStyle w:val="CaptionedFigure"/>
      </w:pPr>
      <w:r>
        <w:drawing>
          <wp:inline>
            <wp:extent cx="3733800" cy="2221299"/>
            <wp:effectExtent b="0" l="0" r="0" t="0"/>
            <wp:docPr descr="Рис. 11: Текущая длина очереди на линке (R1–R2)" title="" id="75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11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1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Текущая длина очереди на линке (R1–R2)</w:t>
      </w:r>
    </w:p>
    <w:bookmarkEnd w:id="77"/>
    <w:bookmarkEnd w:id="78"/>
    <w:bookmarkStart w:id="83" w:name="выполнение-лабораторной-работы-11"/>
    <w:p>
      <w:pPr>
        <w:pStyle w:val="Heading1"/>
      </w:pPr>
      <w:r>
        <w:rPr>
          <w:rStyle w:val="SectionNumber"/>
        </w:rPr>
        <w:t xml:space="preserve">16</w:t>
      </w:r>
      <w:r>
        <w:tab/>
      </w:r>
      <w:r>
        <w:t xml:space="preserve">Выполнение лабораторной работы</w:t>
      </w:r>
    </w:p>
    <w:bookmarkStart w:id="82" w:name="fig:012"/>
    <w:p>
      <w:pPr>
        <w:pStyle w:val="CaptionedFigure"/>
      </w:pPr>
      <w:r>
        <w:drawing>
          <wp:inline>
            <wp:extent cx="3733800" cy="2393309"/>
            <wp:effectExtent b="0" l="0" r="0" t="0"/>
            <wp:docPr descr="Рис. 12: Изменение размера окна TCP на всех источниках при N=30" title="" id="80" name="Picture"/>
            <a:graphic>
              <a:graphicData uri="http://schemas.openxmlformats.org/drawingml/2006/picture">
                <pic:pic>
                  <pic:nvPicPr>
                    <pic:cNvPr descr="/home/kambulat/work/study/2024-2025/Имитационное%20моделирование/study_2024-2025_simmod/labs/lab04/1/12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3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размера окна TCP на всех источниках при N=30</w:t>
      </w:r>
    </w:p>
    <w:bookmarkEnd w:id="82"/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17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Я:</w:t>
      </w:r>
      <w:r>
        <w:t xml:space="preserve"> </w:t>
      </w:r>
      <w:r>
        <w:t xml:space="preserve">Для приведённой схемы разработал имитационную модель в пакете NS-2.</w:t>
      </w:r>
      <w:r>
        <w:t xml:space="preserve"> </w:t>
      </w:r>
      <w:r>
        <w:t xml:space="preserve">Построил график изменения размера окна TCP (в Xgraph и в GNUPlot);</w:t>
      </w:r>
      <w:r>
        <w:t xml:space="preserve"> </w:t>
      </w:r>
      <w:r>
        <w:t xml:space="preserve">Построил график изменения длины очереди и средней длины очереди на первом</w:t>
      </w:r>
      <w:r>
        <w:t xml:space="preserve"> </w:t>
      </w:r>
      <w:r>
        <w:t xml:space="preserve">маршрутизаторе.</w:t>
      </w:r>
    </w:p>
    <w:bookmarkEnd w:id="84"/>
    <w:bookmarkStart w:id="86" w:name="список-литературы"/>
    <w:p>
      <w:pPr>
        <w:pStyle w:val="Heading1"/>
      </w:pPr>
      <w:r>
        <w:t xml:space="preserve">Список литературы</w:t>
      </w:r>
    </w:p>
    <w:bookmarkStart w:id="85" w:name="refs"/>
    <w:bookmarkEnd w:id="85"/>
    <w:bookmarkEnd w:id="8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69" Target="media/rId69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9" Target="media/rId49.png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Дзахмишев Камбулат Заурович</dc:creator>
  <dc:language>ru-RU</dc:language>
  <cp:keywords/>
  <dcterms:created xsi:type="dcterms:W3CDTF">2025-02-28T19:46:11Z</dcterms:created>
  <dcterms:modified xsi:type="dcterms:W3CDTF">2025-02-28T19:46:11Z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Лабораторная №4 по имитационному моделированию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