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793A" w14:textId="4F2CC3D5" w:rsidR="00017894" w:rsidRDefault="00017894" w:rsidP="00017894">
      <w:pPr>
        <w:jc w:val="left"/>
      </w:pPr>
      <w:r>
        <w:t xml:space="preserve">Part of Table III (UN </w:t>
      </w:r>
      <w:proofErr w:type="spellStart"/>
      <w:r>
        <w:t>R</w:t>
      </w:r>
      <w:r w:rsidRPr="00017894">
        <w:rPr>
          <w:vertAlign w:val="subscript"/>
        </w:rPr>
        <w:t>ad</w:t>
      </w:r>
      <w:r>
        <w:rPr>
          <w:vertAlign w:val="subscript"/>
        </w:rPr>
        <w:t>j</w:t>
      </w:r>
      <w:proofErr w:type="spellEnd"/>
      <w:r>
        <w:t>, NM, LN) in Maruo et al. (2017) and their penalized power*</w:t>
      </w:r>
    </w:p>
    <w:p w14:paraId="0361A118" w14:textId="77777777" w:rsidR="00017894" w:rsidRDefault="00017894" w:rsidP="00017894">
      <w:pPr>
        <w:jc w:val="left"/>
      </w:pPr>
    </w:p>
    <w:tbl>
      <w:tblPr>
        <w:tblW w:w="86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79"/>
        <w:gridCol w:w="834"/>
        <w:gridCol w:w="1276"/>
        <w:gridCol w:w="992"/>
        <w:gridCol w:w="1012"/>
        <w:gridCol w:w="972"/>
        <w:gridCol w:w="1012"/>
        <w:gridCol w:w="973"/>
        <w:gridCol w:w="1012"/>
      </w:tblGrid>
      <w:tr w:rsidR="00017894" w:rsidRPr="00341BB5" w14:paraId="6DCD5DD9" w14:textId="77777777" w:rsidTr="00561A1F">
        <w:trPr>
          <w:trHeight w:hRule="exact" w:val="340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AD9F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Sim.</w:t>
            </w:r>
          </w:p>
        </w:tc>
        <w:tc>
          <w:tcPr>
            <w:tcW w:w="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BF67BB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Effect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48E5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Distribution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82D5" w14:textId="77777777" w:rsidR="00017894" w:rsidRPr="00051ED2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BCMMRM</w:t>
            </w:r>
          </w:p>
          <w:p w14:paraId="3B301925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 (UN </w:t>
            </w:r>
            <w:proofErr w:type="spellStart"/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R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  <w:vertAlign w:val="subscript"/>
              </w:rPr>
              <w:t>adj</w:t>
            </w:r>
            <w:proofErr w:type="spellEnd"/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16C45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MMRM</w:t>
            </w:r>
            <w:r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(NM)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36603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MMRM (</w:t>
            </w:r>
            <w:r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LN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017894" w:rsidRPr="00341BB5" w14:paraId="49D16292" w14:textId="77777777" w:rsidTr="00561A1F">
        <w:trPr>
          <w:trHeight w:hRule="exact" w:val="782"/>
        </w:trPr>
        <w:tc>
          <w:tcPr>
            <w:tcW w:w="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64916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7EC98D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70A1B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B663A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Test size 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br/>
              <w:t>/ Power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B6A9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051ED2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Panelized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br/>
              <w:t>power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520F9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Test size 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br/>
              <w:t>/ Power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ED769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051ED2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Panelized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br/>
              <w:t>power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AA0A7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Test size 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br/>
              <w:t>/ Power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E169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051ED2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Panelized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 </w:t>
            </w: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br/>
              <w:t>power</w:t>
            </w:r>
          </w:p>
        </w:tc>
      </w:tr>
      <w:tr w:rsidR="00017894" w:rsidRPr="00341BB5" w14:paraId="2EA3887A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4453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C9FE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E4B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λ=-0.5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7AA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3.75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010E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4C5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3.68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0EF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6C3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4.97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E97F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51F018B4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73E8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5EF9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728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λ=0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EA2E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4.27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BC9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59C1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4.70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E862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A29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C292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3D6A434E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9E0A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A7A5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3FC1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λ=0.5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9C5A7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4.67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058C7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AC49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5.03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2606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3A039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4.76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A80F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278CFD07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EAEB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FC35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57FF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λ=-0.5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883D6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3.83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9D67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719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4.39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09A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A2D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5.07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C58A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3FDF0C0B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AA5E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B429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64D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λ=0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1458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4.49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736C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CF06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5.12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FC6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285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5.18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C122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33471B9A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E1E7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047F0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A71E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λ=0.5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BF71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4.84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27131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D1DBF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5.17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0407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639A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5.10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0BCA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41F5573E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A6E8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E275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639F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λ=-0.5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7851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77.3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60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69.1 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067B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52.7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7AA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46.9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DD3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80.1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4A26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79.5 </w:t>
            </w:r>
          </w:p>
        </w:tc>
      </w:tr>
      <w:tr w:rsidR="00017894" w:rsidRPr="00341BB5" w14:paraId="42201EE4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AB47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C71F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9B59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λ=0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69D0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77.2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518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72.1 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FFA8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73.1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AD8B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71.0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7B59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79.6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D49B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78.2 </w:t>
            </w:r>
          </w:p>
        </w:tc>
      </w:tr>
      <w:tr w:rsidR="00017894" w:rsidRPr="00341BB5" w14:paraId="26043D89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EFD6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6CADE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9698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游ゴシック" w:hAnsi="Cambria Math" w:cs="ＭＳ Ｐゴシック"/>
                    <w:color w:val="000000"/>
                    <w:kern w:val="0"/>
                    <w:sz w:val="18"/>
                    <w:szCs w:val="18"/>
                  </w:rPr>
                  <m:t>λ=0.5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B0716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77.9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7D82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75.4 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AA5A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78.9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650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77.6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CF52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68.4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144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66.8 </w:t>
            </w:r>
          </w:p>
        </w:tc>
      </w:tr>
      <w:tr w:rsidR="00017894" w:rsidRPr="00341BB5" w14:paraId="47F58675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7987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F1D4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3E49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Weibull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626B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4.65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BE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40C2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4.98 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2E4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ADB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E6A1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1B327617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0A6D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BBDC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AC9B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18D4E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4.42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6986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110D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4.91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D4A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A4FB4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4.91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61BE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024BE673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0F71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6000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ED3D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Weibull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2622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4.85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D28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29C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5.70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F78F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1063D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5.18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0B1B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74FA5C76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82E0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D8E96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FEB6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F6D60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4.51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3CCDF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76E6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5.57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A57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F6840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4.95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2490" w14:textId="77777777" w:rsidR="00017894" w:rsidRPr="00341BB5" w:rsidRDefault="00017894" w:rsidP="00561A1F">
            <w:pPr>
              <w:widowControl/>
              <w:jc w:val="lef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17894" w:rsidRPr="00341BB5" w14:paraId="23F4F886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04E4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7991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E3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883D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Weibull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80D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66.6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F173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64.4 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979B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79.6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CC1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74.6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1300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56.7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CAE1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55.7 </w:t>
            </w:r>
          </w:p>
        </w:tc>
      </w:tr>
      <w:tr w:rsidR="00017894" w:rsidRPr="00341BB5" w14:paraId="64FD6429" w14:textId="77777777" w:rsidTr="00561A1F">
        <w:trPr>
          <w:trHeight w:hRule="exact" w:val="34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FDE8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F5CDC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4ADF" w14:textId="77777777" w:rsidR="00017894" w:rsidRPr="00341BB5" w:rsidRDefault="00017894" w:rsidP="00561A1F">
            <w:pPr>
              <w:widowControl/>
              <w:jc w:val="center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73D07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66.8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D24A9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63.2 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44F8B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79.4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73C5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75.2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2121A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61.7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3881" w14:textId="77777777" w:rsidR="00017894" w:rsidRPr="00341BB5" w:rsidRDefault="00017894" w:rsidP="00561A1F">
            <w:pPr>
              <w:widowControl/>
              <w:jc w:val="right"/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</w:pPr>
            <w:r w:rsidRPr="00341BB5">
              <w:rPr>
                <w:rFonts w:ascii="Century" w:eastAsia="游ゴシック" w:hAnsi="Century" w:cs="ＭＳ Ｐゴシック"/>
                <w:color w:val="000000"/>
                <w:kern w:val="0"/>
                <w:sz w:val="18"/>
                <w:szCs w:val="18"/>
              </w:rPr>
              <w:t xml:space="preserve">61.2 </w:t>
            </w:r>
          </w:p>
        </w:tc>
      </w:tr>
    </w:tbl>
    <w:p w14:paraId="628F2B8D" w14:textId="483EC2FE" w:rsidR="00017894" w:rsidRDefault="00017894"/>
    <w:p w14:paraId="2ACB6769" w14:textId="6FA043D4" w:rsidR="00017894" w:rsidRDefault="00017894" w:rsidP="00DF4A1D">
      <w:pPr>
        <w:ind w:left="105" w:hangingChars="50" w:hanging="105"/>
        <w:rPr>
          <w:rFonts w:hint="eastAsia"/>
        </w:rPr>
      </w:pPr>
      <w:r>
        <w:rPr>
          <w:rFonts w:hint="eastAsia"/>
        </w:rPr>
        <w:t>*</w:t>
      </w:r>
      <w:r>
        <w:t xml:space="preserve">Penalized power </w:t>
      </w:r>
      <w:r w:rsidR="00DF4A1D">
        <w:t>(</w:t>
      </w:r>
      <w:proofErr w:type="spellStart"/>
      <w:r w:rsidR="00DF4A1D">
        <w:t>Cavus</w:t>
      </w:r>
      <w:proofErr w:type="spellEnd"/>
      <w:r w:rsidR="00DF4A1D">
        <w:t xml:space="preserve"> et al</w:t>
      </w:r>
      <w:r w:rsidR="00DF4A1D">
        <w:t xml:space="preserve">. </w:t>
      </w:r>
      <w:hyperlink r:id="rId4" w:history="1">
        <w:r w:rsidR="00DF4A1D" w:rsidRPr="00BE6935">
          <w:rPr>
            <w:rStyle w:val="a3"/>
          </w:rPr>
          <w:t>https://doi.org/10.1080/03610918.2019.1588310</w:t>
        </w:r>
      </w:hyperlink>
      <w:r w:rsidR="00DF4A1D">
        <w:t xml:space="preserve">) </w:t>
      </w:r>
      <w:r>
        <w:t>is</w:t>
      </w:r>
      <w:r w:rsidR="00DF4A1D">
        <w:t xml:space="preserve"> penalized using t</w:t>
      </w:r>
      <w:r w:rsidR="00DF4A1D" w:rsidRPr="00DF4A1D">
        <w:t xml:space="preserve">he test size with the largest deviation from the nominal level among E1 and </w:t>
      </w:r>
      <w:proofErr w:type="gramStart"/>
      <w:r w:rsidR="00DF4A1D" w:rsidRPr="00DF4A1D">
        <w:t>E2</w:t>
      </w:r>
      <w:proofErr w:type="gramEnd"/>
    </w:p>
    <w:sectPr w:rsidR="000178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4"/>
    <w:rsid w:val="00017894"/>
    <w:rsid w:val="00D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307697"/>
  <w15:chartTrackingRefBased/>
  <w15:docId w15:val="{B62AD369-3728-45A6-BEBF-F5752526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A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4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80/03610918.2019.158831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Kazushi Maruo</dc:creator>
  <cp:keywords/>
  <dc:description/>
  <cp:lastModifiedBy>Kazushi Maruo</cp:lastModifiedBy>
  <cp:revision>1</cp:revision>
  <dcterms:created xsi:type="dcterms:W3CDTF">2021-04-15T08:12:00Z</dcterms:created>
  <dcterms:modified xsi:type="dcterms:W3CDTF">2021-04-15T09:05:00Z</dcterms:modified>
</cp:coreProperties>
</file>