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2942"/>
          <w:sz w:val="36"/>
        </w:rPr>
        <w:t>LEARNING OUTCOMES &amp; TEAM CONTRIBUTION SHEET</w:t>
      </w:r>
    </w:p>
    <w:p>
      <w:pPr>
        <w:spacing w:after="240"/>
      </w:pPr>
      <w:r>
        <w:rPr>
          <w:rFonts w:ascii="Calibri" w:hAnsi="Calibri"/>
          <w:b/>
          <w:color w:val="2563EB"/>
          <w:sz w:val="22"/>
        </w:rPr>
        <w:t>Smart India Hackathon 2026  |  Team Name: Bharat Byte</w:t>
        <w:br/>
      </w:r>
      <w:r>
        <w:rPr>
          <w:rFonts w:ascii="Calibri" w:hAnsi="Calibri"/>
          <w:color w:val="64748B"/>
          <w:sz w:val="19"/>
        </w:rPr>
        <w:t>Project: 3D Volumetric Cadastre &amp; Subterranean Digital Twin System for Vertical Property Rights</w:t>
      </w:r>
    </w:p>
    <w:p>
      <w:pPr>
        <w:pStyle w:val="Heading1"/>
        <w:keepNext/>
        <w:spacing w:before="280" w:after="80"/>
      </w:pPr>
      <w:r>
        <w:rPr>
          <w:rFonts w:ascii="Calibri" w:hAnsi="Calibri"/>
          <w:b/>
          <w:color w:val="0F2942"/>
          <w:sz w:val="32"/>
        </w:rPr>
        <w:t>1. Executive Summary of Team Experience</w:t>
      </w:r>
    </w:p>
    <w:p>
      <w:pPr>
        <w:spacing w:after="100" w:line="276" w:lineRule="auto"/>
      </w:pPr>
      <w:r>
        <w:rPr>
          <w:rFonts w:ascii="Calibri" w:hAnsi="Calibri"/>
          <w:color w:val="334155"/>
          <w:sz w:val="21"/>
        </w:rPr>
        <w:t>Building Bharat Byte during Smart India Hackathon was an intense, transformative 36-hour engineering sprint. As a team of undergraduate engineering students, this hackathon pushed us far beyond routine web development. We had to synthesize four disparate domains: mathematical 3D computer graphics, municipal GIS administration, complex computational geometry, and Indian property registration law. This document captures our genuine technical growth, the engineering bottlenecks we wrestled with and resolved, and the clear division of ownership across all team members.</w:t>
      </w:r>
    </w:p>
    <w:p>
      <w:pPr>
        <w:pStyle w:val="Heading1"/>
        <w:keepNext/>
        <w:spacing w:before="280" w:after="80"/>
      </w:pPr>
      <w:r>
        <w:rPr>
          <w:rFonts w:ascii="Calibri" w:hAnsi="Calibri"/>
          <w:b/>
          <w:color w:val="0F2942"/>
          <w:sz w:val="32"/>
        </w:rPr>
        <w:t>2. Key Technical &amp; Domain Learning Outcomes</w:t>
      </w:r>
    </w:p>
    <w:p>
      <w:pPr>
        <w:pStyle w:val="ListBullet"/>
        <w:spacing w:after="60" w:line="276" w:lineRule="auto"/>
      </w:pPr>
      <w:r>
        <w:rPr>
          <w:rFonts w:ascii="Calibri" w:hAnsi="Calibri"/>
          <w:b/>
          <w:color w:val="0F172A"/>
          <w:sz w:val="20"/>
        </w:rPr>
        <w:t xml:space="preserve">A. High-Performance WebGL &amp; Computer Graphics: </w:t>
      </w:r>
      <w:r>
        <w:rPr>
          <w:rFonts w:ascii="Calibri" w:hAnsi="Calibri"/>
          <w:color w:val="334155"/>
          <w:sz w:val="20"/>
        </w:rPr>
        <w:t>Prior to this hackathon, our experience with WebGL was limited to basic 3D hobby tutorials. During the competition, we learned to manage a high-density 3D city scene at 60 FPS on standard student laptops. We mastered Three.js buffer geometry instancing, customized polygon offsets to completely eliminate visual Z-fighting between floor slabs and city meshes, and built atmospheric celestial shaders with realistic day-to-night solar positioning.</w:t>
      </w:r>
    </w:p>
    <w:p>
      <w:pPr>
        <w:pStyle w:val="ListBullet"/>
        <w:spacing w:after="60" w:line="276" w:lineRule="auto"/>
      </w:pPr>
      <w:r>
        <w:rPr>
          <w:rFonts w:ascii="Calibri" w:hAnsi="Calibri"/>
          <w:b/>
          <w:color w:val="0F172A"/>
          <w:sz w:val="20"/>
        </w:rPr>
        <w:t xml:space="preserve">B. Computational Geometry &amp; Spatial Hashing: </w:t>
      </w:r>
      <w:r>
        <w:rPr>
          <w:rFonts w:ascii="Calibri" w:hAnsi="Calibri"/>
          <w:color w:val="334155"/>
          <w:sz w:val="20"/>
        </w:rPr>
        <w:t>We experienced firsthand the friction between traditional desktop GIS tools and interactive web browsers. We learned to handle coordinate frame discrepancies (Blender right-handed Z-up vs. Three.js Y-up), implement raycasting intersection algorithms, and calculate point-in-polygon containment to reliably detect user clicks on building facades and complex roof geometries.</w:t>
      </w:r>
    </w:p>
    <w:p>
      <w:pPr>
        <w:pStyle w:val="ListBullet"/>
        <w:spacing w:after="60" w:line="276" w:lineRule="auto"/>
      </w:pPr>
      <w:r>
        <w:rPr>
          <w:rFonts w:ascii="Calibri" w:hAnsi="Calibri"/>
          <w:b/>
          <w:color w:val="0F172A"/>
          <w:sz w:val="20"/>
        </w:rPr>
        <w:t xml:space="preserve">C. Civic Tech &amp; Indian Land Administration: </w:t>
      </w:r>
      <w:r>
        <w:rPr>
          <w:rFonts w:ascii="Calibri" w:hAnsi="Calibri"/>
          <w:color w:val="334155"/>
          <w:sz w:val="20"/>
        </w:rPr>
        <w:t>We deeply researched the operational specifications of Bhu-Aadhaar (ULPIN), Section 17 of the Indian Registration Act 1908, and the Real Estate Regulatory Authority (RERA) mandate for carpet area disclosure. We learned how land revenue departments operate on the ground and why municipal corporations struggle with vertical property assessment.</w:t>
      </w:r>
    </w:p>
    <w:p>
      <w:pPr>
        <w:pStyle w:val="ListBullet"/>
        <w:spacing w:after="60" w:line="276" w:lineRule="auto"/>
      </w:pPr>
      <w:r>
        <w:rPr>
          <w:rFonts w:ascii="Calibri" w:hAnsi="Calibri"/>
          <w:b/>
          <w:color w:val="0F172A"/>
          <w:sz w:val="20"/>
        </w:rPr>
        <w:t xml:space="preserve">D. Production-Grade Frontend Architecture: </w:t>
      </w:r>
      <w:r>
        <w:rPr>
          <w:rFonts w:ascii="Calibri" w:hAnsi="Calibri"/>
          <w:color w:val="334155"/>
          <w:sz w:val="20"/>
        </w:rPr>
        <w:t>When dealing with a 56MB real-world dataset of 800+ Bengaluru buildings and 15,000 units, naive state updates caused noticeable frame drops. We learned to decouple 3D render loops from React component state using Zustand, implement client-side memoized caching, and build an offline-first fallback pipeline that guarantees the digital twin runs seamlessly even if the internet drops.</w:t>
      </w:r>
    </w:p>
    <w:p>
      <w:pPr>
        <w:pStyle w:val="ListBullet"/>
        <w:spacing w:after="60" w:line="276" w:lineRule="auto"/>
      </w:pPr>
      <w:r>
        <w:rPr>
          <w:rFonts w:ascii="Calibri" w:hAnsi="Calibri"/>
          <w:b/>
          <w:color w:val="0F172A"/>
          <w:sz w:val="20"/>
        </w:rPr>
        <w:t xml:space="preserve">E. Real-World Debugging &amp; Mathematical Modeling: </w:t>
      </w:r>
      <w:r>
        <w:rPr>
          <w:rFonts w:ascii="Calibri" w:hAnsi="Calibri"/>
          <w:color w:val="334155"/>
          <w:sz w:val="20"/>
        </w:rPr>
        <w:t>On Day 2 at 3:00 AM, we hit a critical bug: clicking a 130m skyscraper zoomed the camera to a hardcoded 80m distance, violently cutting off the building. Rather than using arbitrary magic numbers, our team sat down with paper and derived a dynamic perspective framing equation using camera FOV and pitch trigonometry. Seeing our mathematical derivation immediately fix the issue across all building heights was the most rewarding moment of our hackathon.</w:t>
      </w:r>
    </w:p>
    <w:p>
      <w:pPr>
        <w:pStyle w:val="Heading1"/>
        <w:keepNext/>
        <w:spacing w:before="280" w:after="80"/>
      </w:pPr>
      <w:r>
        <w:rPr>
          <w:rFonts w:ascii="Calibri" w:hAnsi="Calibri"/>
          <w:b/>
          <w:color w:val="0F2942"/>
          <w:sz w:val="32"/>
        </w:rPr>
        <w:t>3. Team Member Contribution Matrix</w:t>
      </w:r>
    </w:p>
    <w:p>
      <w:pPr>
        <w:spacing w:after="100" w:line="276" w:lineRule="auto"/>
      </w:pPr>
      <w:r>
        <w:rPr>
          <w:rFonts w:ascii="Calibri" w:hAnsi="Calibri"/>
          <w:color w:val="334155"/>
          <w:sz w:val="21"/>
        </w:rPr>
        <w:t>To achieve production-grade quality in 36 hours, tasks were split strictly according to individual core competencies:</w:t>
      </w:r>
    </w:p>
    <w:tbl>
      <w:tblPr>
        <w:tblW w:type="auto" w:w="0"/>
        <w:jc w:val="center"/>
        <w:tblLook w:firstColumn="1" w:firstRow="1" w:lastColumn="0" w:lastRow="0" w:noHBand="0" w:noVBand="1" w:val="04A0"/>
      </w:tblPr>
      <w:tblGrid>
        <w:gridCol w:w="2448"/>
        <w:gridCol w:w="2448"/>
        <w:gridCol w:w="2448"/>
        <w:gridCol w:w="2448"/>
      </w:tblGrid>
      <w:tr>
        <w:tc>
          <w:tcPr>
            <w:tcW w:type="dxa" w:w="2448"/>
            <w:shd w:fill="1E3A8A"/>
            <w:tcMar>
              <w:top w:w="100" w:type="dxa"/>
              <w:bottom w:w="100" w:type="dxa"/>
              <w:left w:w="120" w:type="dxa"/>
              <w:right w:w="120" w:type="dxa"/>
            </w:tcMar>
          </w:tcPr>
          <w:p>
            <w:r>
              <w:rPr>
                <w:rFonts w:ascii="Calibri" w:hAnsi="Calibri"/>
                <w:b/>
                <w:color w:val="FFFFFF"/>
                <w:sz w:val="18"/>
              </w:rPr>
              <w:t>Member Name &amp; Role</w:t>
            </w:r>
          </w:p>
        </w:tc>
        <w:tc>
          <w:tcPr>
            <w:tcW w:type="dxa" w:w="2448"/>
            <w:shd w:fill="1E3A8A"/>
            <w:tcMar>
              <w:top w:w="100" w:type="dxa"/>
              <w:bottom w:w="100" w:type="dxa"/>
              <w:left w:w="120" w:type="dxa"/>
              <w:right w:w="120" w:type="dxa"/>
            </w:tcMar>
          </w:tcPr>
          <w:p>
            <w:r>
              <w:rPr>
                <w:rFonts w:ascii="Calibri" w:hAnsi="Calibri"/>
                <w:b/>
                <w:color w:val="FFFFFF"/>
                <w:sz w:val="18"/>
              </w:rPr>
              <w:t>Core Responsibilities</w:t>
            </w:r>
          </w:p>
        </w:tc>
        <w:tc>
          <w:tcPr>
            <w:tcW w:type="dxa" w:w="2448"/>
            <w:shd w:fill="1E3A8A"/>
            <w:tcMar>
              <w:top w:w="100" w:type="dxa"/>
              <w:bottom w:w="100" w:type="dxa"/>
              <w:left w:w="120" w:type="dxa"/>
              <w:right w:w="120" w:type="dxa"/>
            </w:tcMar>
          </w:tcPr>
          <w:p>
            <w:r>
              <w:rPr>
                <w:rFonts w:ascii="Calibri" w:hAnsi="Calibri"/>
                <w:b/>
                <w:color w:val="FFFFFF"/>
                <w:sz w:val="18"/>
              </w:rPr>
              <w:t>Key Technical Deliverables</w:t>
            </w:r>
          </w:p>
        </w:tc>
        <w:tc>
          <w:tcPr>
            <w:tcW w:type="dxa" w:w="2448"/>
            <w:shd w:fill="1E3A8A"/>
            <w:tcMar>
              <w:top w:w="100" w:type="dxa"/>
              <w:bottom w:w="100" w:type="dxa"/>
              <w:left w:w="120" w:type="dxa"/>
              <w:right w:w="120" w:type="dxa"/>
            </w:tcMar>
          </w:tcPr>
          <w:p>
            <w:r>
              <w:rPr>
                <w:rFonts w:ascii="Calibri" w:hAnsi="Calibri"/>
                <w:b/>
                <w:color w:val="FFFFFF"/>
                <w:sz w:val="18"/>
              </w:rPr>
              <w:t>Hurdle Overcome</w:t>
            </w:r>
          </w:p>
        </w:tc>
      </w:tr>
      <w:tr>
        <w:tc>
          <w:tcPr>
            <w:tcW w:type="dxa" w:w="2448"/>
            <w:shd w:fill="F8FAFC"/>
            <w:tcMar>
              <w:top w:w="80" w:type="dxa"/>
              <w:bottom w:w="80" w:type="dxa"/>
              <w:left w:w="100" w:type="dxa"/>
              <w:right w:w="100" w:type="dxa"/>
            </w:tcMar>
          </w:tcPr>
          <w:p>
            <w:r>
              <w:rPr>
                <w:rFonts w:ascii="Calibri" w:hAnsi="Calibri"/>
                <w:color w:val="1E293B"/>
                <w:sz w:val="17"/>
              </w:rPr>
              <w:t>Member 1 (Team Lead)</w:t>
              <w:br/>
              <w:t>3D Graphics Architect</w:t>
            </w:r>
          </w:p>
        </w:tc>
        <w:tc>
          <w:tcPr>
            <w:tcW w:type="dxa" w:w="2448"/>
            <w:shd w:fill="F8FAFC"/>
            <w:tcMar>
              <w:top w:w="80" w:type="dxa"/>
              <w:bottom w:w="80" w:type="dxa"/>
              <w:left w:w="100" w:type="dxa"/>
              <w:right w:w="100" w:type="dxa"/>
            </w:tcMar>
          </w:tcPr>
          <w:p>
            <w:r>
              <w:rPr>
                <w:rFonts w:ascii="Calibri" w:hAnsi="Calibri"/>
                <w:color w:val="1E293B"/>
                <w:sz w:val="17"/>
              </w:rPr>
              <w:t>End-to-end architecture, Three.js canvas setup, scene lighting, and performance optimization.</w:t>
            </w:r>
          </w:p>
        </w:tc>
        <w:tc>
          <w:tcPr>
            <w:tcW w:type="dxa" w:w="2448"/>
            <w:shd w:fill="F8FAFC"/>
            <w:tcMar>
              <w:top w:w="80" w:type="dxa"/>
              <w:bottom w:w="80" w:type="dxa"/>
              <w:left w:w="100" w:type="dxa"/>
              <w:right w:w="100" w:type="dxa"/>
            </w:tcMar>
          </w:tcPr>
          <w:p>
            <w:r>
              <w:rPr>
                <w:rFonts w:ascii="Calibri" w:hAnsi="Calibri"/>
                <w:color w:val="1E293B"/>
                <w:sz w:val="17"/>
              </w:rPr>
              <w:t>Modular city GLTF loading, celestial sun-tracking sky, dynamic day/night light transitions.</w:t>
            </w:r>
          </w:p>
        </w:tc>
        <w:tc>
          <w:tcPr>
            <w:tcW w:type="dxa" w:w="2448"/>
            <w:shd w:fill="F8FAFC"/>
            <w:tcMar>
              <w:top w:w="80" w:type="dxa"/>
              <w:bottom w:w="80" w:type="dxa"/>
              <w:left w:w="100" w:type="dxa"/>
              <w:right w:w="100" w:type="dxa"/>
            </w:tcMar>
          </w:tcPr>
          <w:p>
            <w:r>
              <w:rPr>
                <w:rFonts w:ascii="Calibri" w:hAnsi="Calibri"/>
                <w:color w:val="1E293B"/>
                <w:sz w:val="17"/>
              </w:rPr>
              <w:t>Resolved severe WebGL memory leaks during continuous scene navigation.</w:t>
            </w:r>
          </w:p>
        </w:tc>
      </w:tr>
      <w:tr>
        <w:tc>
          <w:tcPr>
            <w:tcW w:type="dxa" w:w="2448"/>
            <w:shd w:fill="FFFFFF"/>
            <w:tcMar>
              <w:top w:w="80" w:type="dxa"/>
              <w:bottom w:w="80" w:type="dxa"/>
              <w:left w:w="100" w:type="dxa"/>
              <w:right w:w="100" w:type="dxa"/>
            </w:tcMar>
          </w:tcPr>
          <w:p>
            <w:r>
              <w:rPr>
                <w:rFonts w:ascii="Calibri" w:hAnsi="Calibri"/>
                <w:color w:val="1E293B"/>
                <w:sz w:val="17"/>
              </w:rPr>
              <w:t>Member 2</w:t>
              <w:br/>
              <w:t>Frontend &amp; Camera Engineer</w:t>
            </w:r>
          </w:p>
        </w:tc>
        <w:tc>
          <w:tcPr>
            <w:tcW w:type="dxa" w:w="2448"/>
            <w:shd w:fill="FFFFFF"/>
            <w:tcMar>
              <w:top w:w="80" w:type="dxa"/>
              <w:bottom w:w="80" w:type="dxa"/>
              <w:left w:w="100" w:type="dxa"/>
              <w:right w:w="100" w:type="dxa"/>
            </w:tcMar>
          </w:tcPr>
          <w:p>
            <w:r>
              <w:rPr>
                <w:rFonts w:ascii="Calibri" w:hAnsi="Calibri"/>
                <w:color w:val="1E293B"/>
                <w:sz w:val="17"/>
              </w:rPr>
              <w:t>Camera navigation systems, responsive HUD interface, and user gesture handling.</w:t>
            </w:r>
          </w:p>
        </w:tc>
        <w:tc>
          <w:tcPr>
            <w:tcW w:type="dxa" w:w="2448"/>
            <w:shd w:fill="FFFFFF"/>
            <w:tcMar>
              <w:top w:w="80" w:type="dxa"/>
              <w:bottom w:w="80" w:type="dxa"/>
              <w:left w:w="100" w:type="dxa"/>
              <w:right w:w="100" w:type="dxa"/>
            </w:tcMar>
          </w:tcPr>
          <w:p>
            <w:r>
              <w:rPr>
                <w:rFonts w:ascii="Calibri" w:hAnsi="Calibri"/>
                <w:color w:val="1E293B"/>
                <w:sz w:val="17"/>
              </w:rPr>
              <w:t>CameraController with scale-adaptive FOV auto-framing; OrbitControls pan inertia; HUD panels.</w:t>
            </w:r>
          </w:p>
        </w:tc>
        <w:tc>
          <w:tcPr>
            <w:tcW w:type="dxa" w:w="2448"/>
            <w:shd w:fill="FFFFFF"/>
            <w:tcMar>
              <w:top w:w="80" w:type="dxa"/>
              <w:bottom w:w="80" w:type="dxa"/>
              <w:left w:w="100" w:type="dxa"/>
              <w:right w:w="100" w:type="dxa"/>
            </w:tcMar>
          </w:tcPr>
          <w:p>
            <w:r>
              <w:rPr>
                <w:rFonts w:ascii="Calibri" w:hAnsi="Calibri"/>
                <w:color w:val="1E293B"/>
                <w:sz w:val="17"/>
              </w:rPr>
              <w:t>Eliminated camera spin disorientation by preserving line-of-sight approach angles.</w:t>
            </w:r>
          </w:p>
        </w:tc>
      </w:tr>
      <w:tr>
        <w:tc>
          <w:tcPr>
            <w:tcW w:type="dxa" w:w="2448"/>
            <w:shd w:fill="F8FAFC"/>
            <w:tcMar>
              <w:top w:w="80" w:type="dxa"/>
              <w:bottom w:w="80" w:type="dxa"/>
              <w:left w:w="100" w:type="dxa"/>
              <w:right w:w="100" w:type="dxa"/>
            </w:tcMar>
          </w:tcPr>
          <w:p>
            <w:r>
              <w:rPr>
                <w:rFonts w:ascii="Calibri" w:hAnsi="Calibri"/>
                <w:color w:val="1E293B"/>
                <w:sz w:val="17"/>
              </w:rPr>
              <w:t>Member 3</w:t>
              <w:br/>
              <w:t>Spatial Algorithms Lead</w:t>
            </w:r>
          </w:p>
        </w:tc>
        <w:tc>
          <w:tcPr>
            <w:tcW w:type="dxa" w:w="2448"/>
            <w:shd w:fill="F8FAFC"/>
            <w:tcMar>
              <w:top w:w="80" w:type="dxa"/>
              <w:bottom w:w="80" w:type="dxa"/>
              <w:left w:w="100" w:type="dxa"/>
              <w:right w:w="100" w:type="dxa"/>
            </w:tcMar>
          </w:tcPr>
          <w:p>
            <w:r>
              <w:rPr>
                <w:rFonts w:ascii="Calibri" w:hAnsi="Calibri"/>
                <w:color w:val="1E293B"/>
                <w:sz w:val="17"/>
              </w:rPr>
              <w:t>3D ULPIN hierarchical encoding, coordinate transformation, and raycast hit detection.</w:t>
            </w:r>
          </w:p>
        </w:tc>
        <w:tc>
          <w:tcPr>
            <w:tcW w:type="dxa" w:w="2448"/>
            <w:shd w:fill="F8FAFC"/>
            <w:tcMar>
              <w:top w:w="80" w:type="dxa"/>
              <w:bottom w:w="80" w:type="dxa"/>
              <w:left w:w="100" w:type="dxa"/>
              <w:right w:w="100" w:type="dxa"/>
            </w:tcMar>
          </w:tcPr>
          <w:p>
            <w:r>
              <w:rPr>
                <w:rFonts w:ascii="Calibri" w:hAnsi="Calibri"/>
                <w:color w:val="1E293B"/>
                <w:sz w:val="17"/>
              </w:rPr>
              <w:t>Morton spatial hash generator; Blender-to-Three.js spatial mapper; point-in-polygon checker.</w:t>
            </w:r>
          </w:p>
        </w:tc>
        <w:tc>
          <w:tcPr>
            <w:tcW w:type="dxa" w:w="2448"/>
            <w:shd w:fill="F8FAFC"/>
            <w:tcMar>
              <w:top w:w="80" w:type="dxa"/>
              <w:bottom w:w="80" w:type="dxa"/>
              <w:left w:w="100" w:type="dxa"/>
              <w:right w:w="100" w:type="dxa"/>
            </w:tcMar>
          </w:tcPr>
          <w:p>
            <w:r>
              <w:rPr>
                <w:rFonts w:ascii="Calibri" w:hAnsi="Calibri"/>
                <w:color w:val="1E293B"/>
                <w:sz w:val="17"/>
              </w:rPr>
              <w:t>Handled raycast misses on complex curved roofs with multi-tiered proximity fallbacks.</w:t>
            </w:r>
          </w:p>
        </w:tc>
      </w:tr>
      <w:tr>
        <w:tc>
          <w:tcPr>
            <w:tcW w:type="dxa" w:w="2448"/>
            <w:shd w:fill="FFFFFF"/>
            <w:tcMar>
              <w:top w:w="80" w:type="dxa"/>
              <w:bottom w:w="80" w:type="dxa"/>
              <w:left w:w="100" w:type="dxa"/>
              <w:right w:w="100" w:type="dxa"/>
            </w:tcMar>
          </w:tcPr>
          <w:p>
            <w:r>
              <w:rPr>
                <w:rFonts w:ascii="Calibri" w:hAnsi="Calibri"/>
                <w:color w:val="1E293B"/>
                <w:sz w:val="17"/>
              </w:rPr>
              <w:t>Member 4</w:t>
              <w:br/>
              <w:t>Subterranean &amp; 3D Assets</w:t>
            </w:r>
          </w:p>
        </w:tc>
        <w:tc>
          <w:tcPr>
            <w:tcW w:type="dxa" w:w="2448"/>
            <w:shd w:fill="FFFFFF"/>
            <w:tcMar>
              <w:top w:w="80" w:type="dxa"/>
              <w:bottom w:w="80" w:type="dxa"/>
              <w:left w:w="100" w:type="dxa"/>
              <w:right w:w="100" w:type="dxa"/>
            </w:tcMar>
          </w:tcPr>
          <w:p>
            <w:r>
              <w:rPr>
                <w:rFonts w:ascii="Calibri" w:hAnsi="Calibri"/>
                <w:color w:val="1E293B"/>
                <w:sz w:val="17"/>
              </w:rPr>
              <w:t>Underground utility layers, cutaway transparency shaders, and depth-slice controls.</w:t>
            </w:r>
          </w:p>
        </w:tc>
        <w:tc>
          <w:tcPr>
            <w:tcW w:type="dxa" w:w="2448"/>
            <w:shd w:fill="FFFFFF"/>
            <w:tcMar>
              <w:top w:w="80" w:type="dxa"/>
              <w:bottom w:w="80" w:type="dxa"/>
              <w:left w:w="100" w:type="dxa"/>
              <w:right w:w="100" w:type="dxa"/>
            </w:tcMar>
          </w:tcPr>
          <w:p>
            <w:r>
              <w:rPr>
                <w:rFonts w:ascii="Calibri" w:hAnsi="Calibri"/>
                <w:color w:val="1E293B"/>
                <w:sz w:val="17"/>
              </w:rPr>
              <w:t>3D pipeline/drainage network rendering; ground transparency toggling; depth slicer slider.</w:t>
            </w:r>
          </w:p>
        </w:tc>
        <w:tc>
          <w:tcPr>
            <w:tcW w:type="dxa" w:w="2448"/>
            <w:shd w:fill="FFFFFF"/>
            <w:tcMar>
              <w:top w:w="80" w:type="dxa"/>
              <w:bottom w:w="80" w:type="dxa"/>
              <w:left w:w="100" w:type="dxa"/>
              <w:right w:w="100" w:type="dxa"/>
            </w:tcMar>
          </w:tcPr>
          <w:p>
            <w:r>
              <w:rPr>
                <w:rFonts w:ascii="Calibri" w:hAnsi="Calibri"/>
                <w:color w:val="1E293B"/>
                <w:sz w:val="17"/>
              </w:rPr>
              <w:t>Solved z-fighting between transparent surface terrain and subterranean pipes.</w:t>
            </w:r>
          </w:p>
        </w:tc>
      </w:tr>
      <w:tr>
        <w:tc>
          <w:tcPr>
            <w:tcW w:type="dxa" w:w="2448"/>
            <w:shd w:fill="F8FAFC"/>
            <w:tcMar>
              <w:top w:w="80" w:type="dxa"/>
              <w:bottom w:w="80" w:type="dxa"/>
              <w:left w:w="100" w:type="dxa"/>
              <w:right w:w="100" w:type="dxa"/>
            </w:tcMar>
          </w:tcPr>
          <w:p>
            <w:r>
              <w:rPr>
                <w:rFonts w:ascii="Calibri" w:hAnsi="Calibri"/>
                <w:color w:val="1E293B"/>
                <w:sz w:val="17"/>
              </w:rPr>
              <w:t>Member 5</w:t>
              <w:br/>
              <w:t>Statutory Systems &amp; PDF</w:t>
            </w:r>
          </w:p>
        </w:tc>
        <w:tc>
          <w:tcPr>
            <w:tcW w:type="dxa" w:w="2448"/>
            <w:shd w:fill="F8FAFC"/>
            <w:tcMar>
              <w:top w:w="80" w:type="dxa"/>
              <w:bottom w:w="80" w:type="dxa"/>
              <w:left w:w="100" w:type="dxa"/>
              <w:right w:w="100" w:type="dxa"/>
            </w:tcMar>
          </w:tcPr>
          <w:p>
            <w:r>
              <w:rPr>
                <w:rFonts w:ascii="Calibri" w:hAnsi="Calibri"/>
                <w:color w:val="1E293B"/>
                <w:sz w:val="17"/>
              </w:rPr>
              <w:t>Legal deed generation engine, document modal, and architectural property card.</w:t>
            </w:r>
          </w:p>
        </w:tc>
        <w:tc>
          <w:tcPr>
            <w:tcW w:type="dxa" w:w="2448"/>
            <w:shd w:fill="F8FAFC"/>
            <w:tcMar>
              <w:top w:w="80" w:type="dxa"/>
              <w:bottom w:w="80" w:type="dxa"/>
              <w:left w:w="100" w:type="dxa"/>
              <w:right w:w="100" w:type="dxa"/>
            </w:tcMar>
          </w:tcPr>
          <w:p>
            <w:r>
              <w:rPr>
                <w:rFonts w:ascii="Calibri" w:hAnsi="Calibri"/>
                <w:color w:val="1E293B"/>
                <w:sz w:val="17"/>
              </w:rPr>
              <w:t>Client-side jsPDF statutory deed generator; cryptographic spatial verification badges.</w:t>
            </w:r>
          </w:p>
        </w:tc>
        <w:tc>
          <w:tcPr>
            <w:tcW w:type="dxa" w:w="2448"/>
            <w:shd w:fill="F8FAFC"/>
            <w:tcMar>
              <w:top w:w="80" w:type="dxa"/>
              <w:bottom w:w="80" w:type="dxa"/>
              <w:left w:w="100" w:type="dxa"/>
              <w:right w:w="100" w:type="dxa"/>
            </w:tcMar>
          </w:tcPr>
          <w:p>
            <w:r>
              <w:rPr>
                <w:rFonts w:ascii="Calibri" w:hAnsi="Calibri"/>
                <w:color w:val="1E293B"/>
                <w:sz w:val="17"/>
              </w:rPr>
              <w:t>Accurately structured volumetric deed tables according to RERA legal standards.</w:t>
            </w:r>
          </w:p>
        </w:tc>
      </w:tr>
      <w:tr>
        <w:tc>
          <w:tcPr>
            <w:tcW w:type="dxa" w:w="2448"/>
            <w:shd w:fill="FFFFFF"/>
            <w:tcMar>
              <w:top w:w="80" w:type="dxa"/>
              <w:bottom w:w="80" w:type="dxa"/>
              <w:left w:w="100" w:type="dxa"/>
              <w:right w:w="100" w:type="dxa"/>
            </w:tcMar>
          </w:tcPr>
          <w:p>
            <w:r>
              <w:rPr>
                <w:rFonts w:ascii="Calibri" w:hAnsi="Calibri"/>
                <w:color w:val="1E293B"/>
                <w:sz w:val="17"/>
              </w:rPr>
              <w:t>Member 6</w:t>
              <w:br/>
              <w:t>Data Engineer &amp; Documentation</w:t>
            </w:r>
          </w:p>
        </w:tc>
        <w:tc>
          <w:tcPr>
            <w:tcW w:type="dxa" w:w="2448"/>
            <w:shd w:fill="FFFFFF"/>
            <w:tcMar>
              <w:top w:w="80" w:type="dxa"/>
              <w:bottom w:w="80" w:type="dxa"/>
              <w:left w:w="100" w:type="dxa"/>
              <w:right w:w="100" w:type="dxa"/>
            </w:tcMar>
          </w:tcPr>
          <w:p>
            <w:r>
              <w:rPr>
                <w:rFonts w:ascii="Calibri" w:hAnsi="Calibri"/>
                <w:color w:val="1E293B"/>
                <w:sz w:val="17"/>
              </w:rPr>
              <w:t>Cadastral dataset curation, search index engineering, and pitch presentation storyline.</w:t>
            </w:r>
          </w:p>
        </w:tc>
        <w:tc>
          <w:tcPr>
            <w:tcW w:type="dxa" w:w="2448"/>
            <w:shd w:fill="FFFFFF"/>
            <w:tcMar>
              <w:top w:w="80" w:type="dxa"/>
              <w:bottom w:w="80" w:type="dxa"/>
              <w:left w:w="100" w:type="dxa"/>
              <w:right w:w="100" w:type="dxa"/>
            </w:tcMar>
          </w:tcPr>
          <w:p>
            <w:r>
              <w:rPr>
                <w:rFonts w:ascii="Calibri" w:hAnsi="Calibri"/>
                <w:color w:val="1E293B"/>
                <w:sz w:val="17"/>
              </w:rPr>
              <w:t>56MB localized Bengaluru dataset integration; omnibar search engine; pitch deck.</w:t>
            </w:r>
          </w:p>
        </w:tc>
        <w:tc>
          <w:tcPr>
            <w:tcW w:type="dxa" w:w="2448"/>
            <w:shd w:fill="FFFFFF"/>
            <w:tcMar>
              <w:top w:w="80" w:type="dxa"/>
              <w:bottom w:w="80" w:type="dxa"/>
              <w:left w:w="100" w:type="dxa"/>
              <w:right w:w="100" w:type="dxa"/>
            </w:tcMar>
          </w:tcPr>
          <w:p>
            <w:r>
              <w:rPr>
                <w:rFonts w:ascii="Calibri" w:hAnsi="Calibri"/>
                <w:color w:val="1E293B"/>
                <w:sz w:val="17"/>
              </w:rPr>
              <w:t>Synthesized authentic Karnataka locality codes, door numbers, and survey boundaries.</w:t>
            </w:r>
          </w:p>
        </w:tc>
      </w:tr>
    </w:tbl>
    <w:p>
      <w:pPr>
        <w:spacing w:after="200"/>
      </w:pPr>
    </w:p>
    <w:p>
      <w:pPr>
        <w:pStyle w:val="Heading1"/>
        <w:keepNext/>
        <w:spacing w:before="280" w:after="80"/>
      </w:pPr>
      <w:r>
        <w:rPr>
          <w:rFonts w:ascii="Calibri" w:hAnsi="Calibri"/>
          <w:b/>
          <w:color w:val="0F2942"/>
          <w:sz w:val="32"/>
        </w:rPr>
        <w:t>4. Collaborative Growth &amp; Hackathon Reflection</w:t>
      </w:r>
    </w:p>
    <w:p>
      <w:pPr>
        <w:spacing w:after="100" w:line="276" w:lineRule="auto"/>
      </w:pPr>
      <w:r>
        <w:rPr>
          <w:rFonts w:ascii="Calibri" w:hAnsi="Calibri"/>
          <w:color w:val="334155"/>
          <w:sz w:val="21"/>
        </w:rPr>
        <w:t>Smart India Hackathon taught our team that engineering excellence is as much about communication as it is about clean code. When sleep deprivation set in on the final night, what kept our project moving forward was a culture of extreme ownership: every member knew exactly what component they owned, and we integrated through clean contract boundaries. We are proud that Bharat Byte is not just a hackathon concept—it is a functional, resilient, and production-viable platform that offers a tangible roadmap for India's digital land administration future.</w:t>
      </w:r>
    </w:p>
    <w:p>
      <w:pPr>
        <w:pStyle w:val="Heading2"/>
        <w:keepNext/>
        <w:spacing w:before="280" w:after="80"/>
      </w:pPr>
      <w:r>
        <w:rPr>
          <w:rFonts w:ascii="Calibri" w:hAnsi="Calibri"/>
          <w:b/>
          <w:color w:val="1E40AF"/>
          <w:sz w:val="26"/>
        </w:rPr>
        <w:t>5. Team Declaration</w:t>
      </w:r>
    </w:p>
    <w:p>
      <w:pPr>
        <w:spacing w:after="100" w:line="276" w:lineRule="auto"/>
      </w:pPr>
      <w:r>
        <w:rPr>
          <w:rFonts w:ascii="Calibri" w:hAnsi="Calibri"/>
          <w:color w:val="334155"/>
          <w:sz w:val="21"/>
        </w:rPr>
        <w:t>We hereby declare that this project, 'Bharat Byte: 3D Volumetric Cadastre &amp; Subterranean Digital Twin System', was conceptualized, architected, and engineered by our team during Smart India Hackathon 2026. All third-party libraries and 3D baseline assets have been appropriately credited in compliance with academic and open-source ethics.</w:t>
      </w:r>
    </w:p>
    <w:tbl>
      <w:tblPr>
        <w:tblW w:type="auto" w:w="0"/>
        <w:jc w:val="center"/>
        <w:tblLook w:firstColumn="1" w:firstRow="1" w:lastColumn="0" w:lastRow="0" w:noHBand="0" w:noVBand="1" w:val="04A0"/>
      </w:tblPr>
      <w:tblGrid>
        <w:gridCol w:w="3264"/>
        <w:gridCol w:w="3264"/>
        <w:gridCol w:w="3264"/>
      </w:tblGrid>
      <w:tr>
        <w:tc>
          <w:tcPr>
            <w:tcW w:type="dxa" w:w="3264"/>
            <w:shd w:fill="F1F5F9"/>
            <w:tcMar>
              <w:top w:w="80" w:type="dxa"/>
              <w:bottom w:w="80" w:type="dxa"/>
              <w:left w:w="100" w:type="dxa"/>
              <w:right w:w="100" w:type="dxa"/>
            </w:tcMar>
          </w:tcPr>
          <w:p>
            <w:r>
              <w:rPr>
                <w:b/>
              </w:rPr>
              <w:t>Team Member 1</w:t>
              <w:br/>
            </w:r>
            <w:r>
              <w:rPr>
                <w:sz w:val="17"/>
              </w:rPr>
              <w:t>Signature: __________________</w:t>
              <w:br/>
              <w:t>Date: 12th September 2026</w:t>
            </w:r>
          </w:p>
        </w:tc>
        <w:tc>
          <w:tcPr>
            <w:tcW w:type="dxa" w:w="3264"/>
            <w:shd w:fill="F1F5F9"/>
            <w:tcMar>
              <w:top w:w="80" w:type="dxa"/>
              <w:bottom w:w="80" w:type="dxa"/>
              <w:left w:w="100" w:type="dxa"/>
              <w:right w:w="100" w:type="dxa"/>
            </w:tcMar>
          </w:tcPr>
          <w:p>
            <w:r>
              <w:rPr>
                <w:b/>
              </w:rPr>
              <w:t>Team Member 2</w:t>
              <w:br/>
            </w:r>
            <w:r>
              <w:rPr>
                <w:sz w:val="17"/>
              </w:rPr>
              <w:t>Signature: __________________</w:t>
              <w:br/>
              <w:t>Date: 12th September 2026</w:t>
            </w:r>
          </w:p>
        </w:tc>
        <w:tc>
          <w:tcPr>
            <w:tcW w:type="dxa" w:w="3264"/>
            <w:shd w:fill="F1F5F9"/>
            <w:tcMar>
              <w:top w:w="80" w:type="dxa"/>
              <w:bottom w:w="80" w:type="dxa"/>
              <w:left w:w="100" w:type="dxa"/>
              <w:right w:w="100" w:type="dxa"/>
            </w:tcMar>
          </w:tcPr>
          <w:p>
            <w:r>
              <w:rPr>
                <w:b/>
              </w:rPr>
              <w:t>Team Member 3</w:t>
              <w:br/>
            </w:r>
            <w:r>
              <w:rPr>
                <w:sz w:val="17"/>
              </w:rPr>
              <w:t>Signature: __________________</w:t>
              <w:br/>
              <w:t>Date: 12th September 2026</w:t>
            </w:r>
          </w:p>
        </w:tc>
      </w:tr>
      <w:tr>
        <w:tc>
          <w:tcPr>
            <w:tcW w:type="dxa" w:w="3264"/>
            <w:shd w:fill="F1F5F9"/>
            <w:tcMar>
              <w:top w:w="80" w:type="dxa"/>
              <w:bottom w:w="80" w:type="dxa"/>
              <w:left w:w="100" w:type="dxa"/>
              <w:right w:w="100" w:type="dxa"/>
            </w:tcMar>
          </w:tcPr>
          <w:p>
            <w:r>
              <w:rPr>
                <w:b/>
              </w:rPr>
              <w:t>Team Member 4</w:t>
              <w:br/>
            </w:r>
            <w:r>
              <w:rPr>
                <w:sz w:val="17"/>
              </w:rPr>
              <w:t>Signature: __________________</w:t>
              <w:br/>
              <w:t>Date: 12th September 2026</w:t>
            </w:r>
          </w:p>
        </w:tc>
        <w:tc>
          <w:tcPr>
            <w:tcW w:type="dxa" w:w="3264"/>
            <w:shd w:fill="F1F5F9"/>
            <w:tcMar>
              <w:top w:w="80" w:type="dxa"/>
              <w:bottom w:w="80" w:type="dxa"/>
              <w:left w:w="100" w:type="dxa"/>
              <w:right w:w="100" w:type="dxa"/>
            </w:tcMar>
          </w:tcPr>
          <w:p>
            <w:r>
              <w:rPr>
                <w:b/>
              </w:rPr>
              <w:t>Team Member 5</w:t>
              <w:br/>
            </w:r>
            <w:r>
              <w:rPr>
                <w:sz w:val="17"/>
              </w:rPr>
              <w:t>Signature: __________________</w:t>
              <w:br/>
              <w:t>Date: 12th September 2026</w:t>
            </w:r>
          </w:p>
        </w:tc>
        <w:tc>
          <w:tcPr>
            <w:tcW w:type="dxa" w:w="3264"/>
            <w:shd w:fill="F1F5F9"/>
            <w:tcMar>
              <w:top w:w="80" w:type="dxa"/>
              <w:bottom w:w="80" w:type="dxa"/>
              <w:left w:w="100" w:type="dxa"/>
              <w:right w:w="100" w:type="dxa"/>
            </w:tcMar>
          </w:tcPr>
          <w:p>
            <w:r>
              <w:rPr>
                <w:b/>
              </w:rPr>
              <w:t>Team Member 6</w:t>
              <w:br/>
            </w:r>
            <w:r>
              <w:rPr>
                <w:sz w:val="17"/>
              </w:rPr>
              <w:t>Signature: __________________</w:t>
              <w:br/>
              <w:t>Date: 12th September 2026</w:t>
            </w:r>
          </w:p>
        </w:tc>
      </w:tr>
    </w:tbl>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Bharat Byte: 3D ULPIN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Smart India Hackathon 2026 | Team Contribution &amp; Learning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