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05118" w14:textId="77777777" w:rsidR="004E378C" w:rsidRPr="00E12C99" w:rsidRDefault="00414E69">
      <w:pPr>
        <w:pStyle w:val="Heading"/>
        <w:rPr>
          <w:lang w:val="en-US"/>
        </w:rPr>
      </w:pPr>
      <w:r w:rsidRPr="00E12C99">
        <w:rPr>
          <w:lang w:val="en-US"/>
        </w:rPr>
        <w:t xml:space="preserve">3A </w:t>
      </w:r>
      <w:r>
        <w:rPr>
          <w:lang w:val="en-US"/>
        </w:rPr>
        <w:t>KDD Cup 2009 customer relationship prediction</w:t>
      </w:r>
    </w:p>
    <w:p w14:paraId="3803C4BC" w14:textId="77777777" w:rsidR="004E378C" w:rsidRDefault="00414E69">
      <w:pPr>
        <w:pStyle w:val="Heading2"/>
      </w:pPr>
      <w:r>
        <w:t xml:space="preserve">Introduction of competition </w:t>
      </w:r>
    </w:p>
    <w:p w14:paraId="039F30EC" w14:textId="22D4B1A1" w:rsidR="004E378C" w:rsidRDefault="00414E69">
      <w:pPr>
        <w:pStyle w:val="Body"/>
      </w:pPr>
      <w:r>
        <w:t>In this task we chose a competition, which was held in year 2009, on SIGKDD’s website. As described on KDD’</w:t>
      </w:r>
      <w:r>
        <w:t xml:space="preserve">s </w:t>
      </w:r>
      <w:r w:rsidR="00E12C99">
        <w:t>website [</w:t>
      </w:r>
      <w:r>
        <w:t>1], the database comes from French Telecom company Orange to predict the propensity of customers to switch provider (churn), buy new products or services (appetency), or buy upgrades or add-ons proposed to them to make the sale more profitable. T</w:t>
      </w:r>
      <w:r>
        <w:t xml:space="preserve">he interesting part of data is that all data given to developers were </w:t>
      </w:r>
      <w:proofErr w:type="spellStart"/>
      <w:r>
        <w:rPr>
          <w:lang w:val="it-IT"/>
        </w:rPr>
        <w:t>scrambled</w:t>
      </w:r>
      <w:proofErr w:type="spellEnd"/>
      <w:r>
        <w:t>. This gave a great challenge on how to clean and restructure data. For all teams, the submitted models for different tasks were evaluated by Area Under the ROC Curve (AUC) perf</w:t>
      </w:r>
      <w:r>
        <w:t xml:space="preserve">ormance, then get </w:t>
      </w:r>
      <w:r w:rsidR="00E12C99">
        <w:t>the average</w:t>
      </w:r>
      <w:r>
        <w:t xml:space="preserve"> AUC as finally ranking score.</w:t>
      </w:r>
    </w:p>
    <w:p w14:paraId="0D24924C" w14:textId="77777777" w:rsidR="004E378C" w:rsidRDefault="00414E69">
      <w:pPr>
        <w:pStyle w:val="Body"/>
      </w:pPr>
      <w:r>
        <w:t xml:space="preserve">It had two </w:t>
      </w:r>
      <w:proofErr w:type="gramStart"/>
      <w:r>
        <w:t>track</w:t>
      </w:r>
      <w:proofErr w:type="gramEnd"/>
      <w:r>
        <w:t>, the first one is slow track with 5 days limitation, and another one is slow track with longer extension and a reduced version of data set is given. For there is no precise score</w:t>
      </w:r>
      <w:r>
        <w:t xml:space="preserve"> info on slow track we will only discuss about Fast Track and the rank of competition is given below.</w:t>
      </w:r>
    </w:p>
    <w:tbl>
      <w:tblPr>
        <w:tblStyle w:val="TableGrid"/>
        <w:tblW w:w="8435" w:type="dxa"/>
        <w:jc w:val="center"/>
        <w:tblLayout w:type="fixed"/>
        <w:tblLook w:val="04A0" w:firstRow="1" w:lastRow="0" w:firstColumn="1" w:lastColumn="0" w:noHBand="0" w:noVBand="1"/>
      </w:tblPr>
      <w:tblGrid>
        <w:gridCol w:w="701"/>
        <w:gridCol w:w="2435"/>
        <w:gridCol w:w="1559"/>
        <w:gridCol w:w="820"/>
        <w:gridCol w:w="1100"/>
        <w:gridCol w:w="1000"/>
        <w:gridCol w:w="820"/>
      </w:tblGrid>
      <w:tr w:rsidR="004E378C" w14:paraId="2788414B" w14:textId="77777777" w:rsidTr="00E12C99">
        <w:trPr>
          <w:trHeight w:val="203"/>
          <w:jc w:val="center"/>
        </w:trPr>
        <w:tc>
          <w:tcPr>
            <w:tcW w:w="700" w:type="dxa"/>
          </w:tcPr>
          <w:p w14:paraId="4F0D28CD" w14:textId="77777777" w:rsidR="004E378C" w:rsidRDefault="00414E69">
            <w:pPr>
              <w:pStyle w:val="Body0"/>
            </w:pPr>
            <w:r>
              <w:rPr>
                <w:sz w:val="16"/>
                <w:szCs w:val="16"/>
              </w:rPr>
              <w:t>Rank</w:t>
            </w:r>
          </w:p>
        </w:tc>
        <w:tc>
          <w:tcPr>
            <w:tcW w:w="2435" w:type="dxa"/>
          </w:tcPr>
          <w:p w14:paraId="46E32D58" w14:textId="77777777" w:rsidR="004E378C" w:rsidRDefault="00414E69">
            <w:pPr>
              <w:pStyle w:val="Body0"/>
            </w:pPr>
            <w:r>
              <w:rPr>
                <w:sz w:val="16"/>
                <w:szCs w:val="16"/>
              </w:rPr>
              <w:t>Team Name</w:t>
            </w:r>
          </w:p>
        </w:tc>
        <w:tc>
          <w:tcPr>
            <w:tcW w:w="1559" w:type="dxa"/>
          </w:tcPr>
          <w:p w14:paraId="144F5FE3" w14:textId="77777777" w:rsidR="004E378C" w:rsidRDefault="00414E69">
            <w:pPr>
              <w:pStyle w:val="Body0"/>
            </w:pPr>
            <w:r>
              <w:rPr>
                <w:sz w:val="16"/>
                <w:szCs w:val="16"/>
              </w:rPr>
              <w:t>Method</w:t>
            </w:r>
          </w:p>
        </w:tc>
        <w:tc>
          <w:tcPr>
            <w:tcW w:w="820" w:type="dxa"/>
          </w:tcPr>
          <w:p w14:paraId="441E55EA" w14:textId="77777777" w:rsidR="004E378C" w:rsidRDefault="00414E69">
            <w:pPr>
              <w:pStyle w:val="Body0"/>
            </w:pPr>
            <w:r>
              <w:rPr>
                <w:sz w:val="16"/>
                <w:szCs w:val="16"/>
              </w:rPr>
              <w:t>Churn</w:t>
            </w:r>
          </w:p>
        </w:tc>
        <w:tc>
          <w:tcPr>
            <w:tcW w:w="1100" w:type="dxa"/>
          </w:tcPr>
          <w:p w14:paraId="5AD2D2AA" w14:textId="77777777" w:rsidR="004E378C" w:rsidRDefault="00414E69">
            <w:pPr>
              <w:pStyle w:val="Body0"/>
            </w:pPr>
            <w:r>
              <w:rPr>
                <w:sz w:val="16"/>
                <w:szCs w:val="16"/>
              </w:rPr>
              <w:t>Appetency</w:t>
            </w:r>
          </w:p>
        </w:tc>
        <w:tc>
          <w:tcPr>
            <w:tcW w:w="1000" w:type="dxa"/>
          </w:tcPr>
          <w:p w14:paraId="64E8A9BC" w14:textId="77777777" w:rsidR="004E378C" w:rsidRDefault="00414E69">
            <w:pPr>
              <w:pStyle w:val="Body0"/>
            </w:pPr>
            <w:r>
              <w:rPr>
                <w:sz w:val="16"/>
                <w:szCs w:val="16"/>
              </w:rPr>
              <w:t>Upselling</w:t>
            </w:r>
          </w:p>
        </w:tc>
        <w:tc>
          <w:tcPr>
            <w:tcW w:w="820" w:type="dxa"/>
          </w:tcPr>
          <w:p w14:paraId="4CC4734D" w14:textId="77777777" w:rsidR="004E378C" w:rsidRDefault="00414E69">
            <w:pPr>
              <w:pStyle w:val="Body0"/>
            </w:pPr>
            <w:r>
              <w:rPr>
                <w:sz w:val="16"/>
                <w:szCs w:val="16"/>
              </w:rPr>
              <w:t>Score</w:t>
            </w:r>
          </w:p>
        </w:tc>
      </w:tr>
      <w:tr w:rsidR="004E378C" w14:paraId="4DFA7C96" w14:textId="77777777" w:rsidTr="00E12C99">
        <w:trPr>
          <w:trHeight w:val="203"/>
          <w:jc w:val="center"/>
        </w:trPr>
        <w:tc>
          <w:tcPr>
            <w:tcW w:w="700" w:type="dxa"/>
          </w:tcPr>
          <w:p w14:paraId="313D9870" w14:textId="77777777" w:rsidR="004E378C" w:rsidRDefault="00414E6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2435" w:type="dxa"/>
          </w:tcPr>
          <w:p w14:paraId="230DD163" w14:textId="77777777" w:rsidR="004E378C" w:rsidRDefault="00414E69">
            <w:pPr>
              <w:pStyle w:val="Body0"/>
            </w:pPr>
            <w:r>
              <w:rPr>
                <w:sz w:val="16"/>
                <w:szCs w:val="16"/>
              </w:rPr>
              <w:t>IBM Research</w:t>
            </w:r>
          </w:p>
        </w:tc>
        <w:tc>
          <w:tcPr>
            <w:tcW w:w="1559" w:type="dxa"/>
          </w:tcPr>
          <w:p w14:paraId="64268E7E" w14:textId="77777777" w:rsidR="004E378C" w:rsidRDefault="00414E69">
            <w:pPr>
              <w:pStyle w:val="Body0"/>
            </w:pPr>
            <w:r>
              <w:rPr>
                <w:sz w:val="16"/>
                <w:szCs w:val="16"/>
              </w:rPr>
              <w:t>Final Submission</w:t>
            </w:r>
          </w:p>
        </w:tc>
        <w:tc>
          <w:tcPr>
            <w:tcW w:w="820" w:type="dxa"/>
          </w:tcPr>
          <w:p w14:paraId="36355536" w14:textId="77777777" w:rsidR="004E378C" w:rsidRDefault="00414E6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0.7611</w:t>
            </w:r>
          </w:p>
        </w:tc>
        <w:tc>
          <w:tcPr>
            <w:tcW w:w="1100" w:type="dxa"/>
          </w:tcPr>
          <w:p w14:paraId="3712BF80" w14:textId="77777777" w:rsidR="004E378C" w:rsidRDefault="00414E6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0.8830</w:t>
            </w:r>
          </w:p>
        </w:tc>
        <w:tc>
          <w:tcPr>
            <w:tcW w:w="1000" w:type="dxa"/>
          </w:tcPr>
          <w:p w14:paraId="654964E5" w14:textId="77777777" w:rsidR="004E378C" w:rsidRDefault="00414E6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0.9038</w:t>
            </w:r>
          </w:p>
        </w:tc>
        <w:tc>
          <w:tcPr>
            <w:tcW w:w="820" w:type="dxa"/>
          </w:tcPr>
          <w:p w14:paraId="4BB08566" w14:textId="77777777" w:rsidR="004E378C" w:rsidRDefault="00414E6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0.8493</w:t>
            </w:r>
          </w:p>
        </w:tc>
      </w:tr>
      <w:tr w:rsidR="004E378C" w14:paraId="3698D3C6" w14:textId="77777777" w:rsidTr="00E12C99">
        <w:trPr>
          <w:trHeight w:val="203"/>
          <w:jc w:val="center"/>
        </w:trPr>
        <w:tc>
          <w:tcPr>
            <w:tcW w:w="700" w:type="dxa"/>
          </w:tcPr>
          <w:p w14:paraId="1D8A5ADD" w14:textId="77777777" w:rsidR="004E378C" w:rsidRDefault="00414E6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2435" w:type="dxa"/>
          </w:tcPr>
          <w:p w14:paraId="5FCC97FD" w14:textId="77777777" w:rsidR="004E378C" w:rsidRDefault="00414E69">
            <w:pPr>
              <w:pStyle w:val="Body0"/>
            </w:pPr>
            <w:r>
              <w:rPr>
                <w:sz w:val="16"/>
                <w:szCs w:val="16"/>
              </w:rPr>
              <w:t>Financial Engineering Group</w:t>
            </w:r>
          </w:p>
        </w:tc>
        <w:tc>
          <w:tcPr>
            <w:tcW w:w="1559" w:type="dxa"/>
          </w:tcPr>
          <w:p w14:paraId="46EFBE98" w14:textId="77777777" w:rsidR="004E378C" w:rsidRDefault="00414E69">
            <w:pPr>
              <w:pStyle w:val="Body0"/>
            </w:pPr>
            <w:r>
              <w:rPr>
                <w:sz w:val="16"/>
                <w:szCs w:val="16"/>
              </w:rPr>
              <w:t>boosting</w:t>
            </w:r>
          </w:p>
        </w:tc>
        <w:tc>
          <w:tcPr>
            <w:tcW w:w="820" w:type="dxa"/>
          </w:tcPr>
          <w:p w14:paraId="766FA675" w14:textId="77777777" w:rsidR="004E378C" w:rsidRDefault="00414E6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0.7498</w:t>
            </w:r>
          </w:p>
        </w:tc>
        <w:tc>
          <w:tcPr>
            <w:tcW w:w="1100" w:type="dxa"/>
          </w:tcPr>
          <w:p w14:paraId="3451BD28" w14:textId="77777777" w:rsidR="004E378C" w:rsidRDefault="00414E6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0.8732</w:t>
            </w:r>
          </w:p>
        </w:tc>
        <w:tc>
          <w:tcPr>
            <w:tcW w:w="1000" w:type="dxa"/>
          </w:tcPr>
          <w:p w14:paraId="3ED27BAD" w14:textId="77777777" w:rsidR="004E378C" w:rsidRDefault="00414E6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0.9057</w:t>
            </w:r>
          </w:p>
        </w:tc>
        <w:tc>
          <w:tcPr>
            <w:tcW w:w="820" w:type="dxa"/>
          </w:tcPr>
          <w:p w14:paraId="2BDF7504" w14:textId="77777777" w:rsidR="004E378C" w:rsidRDefault="00414E6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0.8429</w:t>
            </w:r>
          </w:p>
        </w:tc>
      </w:tr>
    </w:tbl>
    <w:p w14:paraId="20012B0C" w14:textId="77777777" w:rsidR="004E378C" w:rsidRDefault="004E378C">
      <w:pPr>
        <w:pStyle w:val="Default"/>
        <w:spacing w:before="0" w:line="380" w:lineRule="atLeast"/>
        <w:jc w:val="center"/>
        <w:rPr>
          <w:color w:val="BDBBB8"/>
          <w:sz w:val="28"/>
          <w:szCs w:val="28"/>
        </w:rPr>
      </w:pPr>
    </w:p>
    <w:p w14:paraId="67DD3636" w14:textId="11AF772C" w:rsidR="004E378C" w:rsidRDefault="00414E69">
      <w:pPr>
        <w:pStyle w:val="Heading2"/>
      </w:pPr>
      <w:r>
        <w:t>Competition winner (IBM Research)</w:t>
      </w:r>
      <w:r w:rsidRPr="00E12C99">
        <w:t xml:space="preserve"> </w:t>
      </w:r>
      <w:r>
        <w:t xml:space="preserve">related </w:t>
      </w:r>
      <w:r w:rsidR="00E12C99">
        <w:t>algorithm [</w:t>
      </w:r>
      <w:r>
        <w:t>2]</w:t>
      </w:r>
    </w:p>
    <w:p w14:paraId="2C75A111" w14:textId="77777777" w:rsidR="004E378C" w:rsidRDefault="00414E69">
      <w:pPr>
        <w:pStyle w:val="Body"/>
      </w:pPr>
      <w:r>
        <w:t xml:space="preserve">Their overall </w:t>
      </w:r>
      <w:r>
        <w:t>strategy is to solve these problems was Ensemble Selection (Caruana and Niculescu-</w:t>
      </w:r>
      <w:proofErr w:type="spellStart"/>
      <w:r>
        <w:t>Mizil</w:t>
      </w:r>
      <w:proofErr w:type="spellEnd"/>
      <w:r>
        <w:t xml:space="preserve">, </w:t>
      </w:r>
      <w:proofErr w:type="gramStart"/>
      <w:r>
        <w:t>2004)[</w:t>
      </w:r>
      <w:proofErr w:type="gramEnd"/>
      <w:r>
        <w:t xml:space="preserve">3]. The idea came from </w:t>
      </w:r>
      <w:proofErr w:type="spellStart"/>
      <w:r>
        <w:rPr>
          <w:lang w:val="fr-FR"/>
        </w:rPr>
        <w:t>Statistical</w:t>
      </w:r>
      <w:proofErr w:type="spellEnd"/>
      <w:r>
        <w:rPr>
          <w:lang w:val="fr-FR"/>
        </w:rPr>
        <w:t xml:space="preserve"> ensemble</w:t>
      </w:r>
      <w:r>
        <w:t>, it is not a particular Machine Learning method or Model, but a mechanics that group multiple models with different w</w:t>
      </w:r>
      <w:r>
        <w:t xml:space="preserve">eights and generate a new model to solve the target problem. For different model could have different strengths and weaknesses, </w:t>
      </w:r>
      <w:r>
        <w:rPr>
          <w:lang w:val="fr-FR"/>
        </w:rPr>
        <w:t xml:space="preserve">Ensemble </w:t>
      </w:r>
      <w:proofErr w:type="spellStart"/>
      <w:r>
        <w:rPr>
          <w:lang w:val="fr-FR"/>
        </w:rPr>
        <w:t>Selection</w:t>
      </w:r>
      <w:proofErr w:type="spellEnd"/>
      <w:r>
        <w:t xml:space="preserve"> can take advantage of them and get better predictions.</w:t>
      </w:r>
    </w:p>
    <w:p w14:paraId="37B0CEC9" w14:textId="77777777" w:rsidR="004E378C" w:rsidRDefault="00414E69">
      <w:pPr>
        <w:pStyle w:val="Body"/>
      </w:pPr>
      <w:r>
        <w:t xml:space="preserve">They included 13 different base level models, like </w:t>
      </w:r>
      <w:proofErr w:type="spellStart"/>
      <w:r>
        <w:rPr>
          <w:lang w:val="da-DK"/>
        </w:rPr>
        <w:t>Ran</w:t>
      </w:r>
      <w:r>
        <w:rPr>
          <w:lang w:val="da-DK"/>
        </w:rPr>
        <w:t>dom</w:t>
      </w:r>
      <w:proofErr w:type="spellEnd"/>
      <w:r>
        <w:rPr>
          <w:lang w:val="da-DK"/>
        </w:rPr>
        <w:t xml:space="preserve"> Forests</w:t>
      </w:r>
      <w:r>
        <w:t xml:space="preserve">, Boosted Decision Trees, Regularized Logistic Regression, </w:t>
      </w:r>
      <w:r>
        <w:rPr>
          <w:lang w:val="pt-PT"/>
        </w:rPr>
        <w:t xml:space="preserve">SVM </w:t>
      </w:r>
      <w:r>
        <w:t xml:space="preserve">and so on and also tested different model’s prediction result on 3 problems. They finally found that, the best model on churn were boosted trees, </w:t>
      </w:r>
      <w:r>
        <w:t xml:space="preserve">the best single method on appetency was random forests, and the best single method on up-selling were boosted trees. In order to all models have the same grading skill they applied post training calibration using Platt </w:t>
      </w:r>
      <w:proofErr w:type="gramStart"/>
      <w:r>
        <w:t>Scaling .</w:t>
      </w:r>
      <w:proofErr w:type="gramEnd"/>
      <w:r>
        <w:t>(Niculescu-</w:t>
      </w:r>
      <w:proofErr w:type="spellStart"/>
      <w:r>
        <w:t>Mizil</w:t>
      </w:r>
      <w:proofErr w:type="spellEnd"/>
      <w:r>
        <w:t xml:space="preserve"> and Caruana</w:t>
      </w:r>
      <w:r>
        <w:t xml:space="preserve">, 2005)[4]. </w:t>
      </w:r>
    </w:p>
    <w:p w14:paraId="14F9C50C" w14:textId="77777777" w:rsidR="004E378C" w:rsidRDefault="00414E69">
      <w:pPr>
        <w:pStyle w:val="Body"/>
      </w:pPr>
      <w:r>
        <w:t>Then they did ensemble selection, by using greedy forward stepwise classifier selection and use two validation folds to test the performance.</w:t>
      </w:r>
    </w:p>
    <w:p w14:paraId="4D091089" w14:textId="77777777" w:rsidR="004E378C" w:rsidRDefault="00414E69">
      <w:pPr>
        <w:pStyle w:val="Heading2"/>
      </w:pPr>
      <w:r>
        <w:t>Compare to non-winning methods</w:t>
      </w:r>
    </w:p>
    <w:p w14:paraId="6FCC33EE" w14:textId="77777777" w:rsidR="004E378C" w:rsidRDefault="00414E69">
      <w:pPr>
        <w:pStyle w:val="Body"/>
      </w:pPr>
      <w:r>
        <w:t>When we view non-winning methods most of them used boost trees methods</w:t>
      </w:r>
      <w:r>
        <w:t>, which is also described in IBM Research’s paper.</w:t>
      </w:r>
      <w:r w:rsidRPr="00E12C99">
        <w:t xml:space="preserve"> </w:t>
      </w:r>
      <w:r>
        <w:t xml:space="preserve">Compared to IBM Research’s group Multi-model structure took all different single model’s advantage, which is a </w:t>
      </w:r>
      <w:proofErr w:type="gramStart"/>
      <w:r>
        <w:t>brilliant methods</w:t>
      </w:r>
      <w:proofErr w:type="gramEnd"/>
      <w:r>
        <w:t>, and Of course better than single model.</w:t>
      </w:r>
    </w:p>
    <w:p w14:paraId="07F11B57" w14:textId="77777777" w:rsidR="004E378C" w:rsidRDefault="00414E69">
      <w:pPr>
        <w:pStyle w:val="Body"/>
      </w:pPr>
      <w:r>
        <w:t xml:space="preserve">Then we comes to boost </w:t>
      </w:r>
      <w:proofErr w:type="gramStart"/>
      <w:r>
        <w:t>trees[</w:t>
      </w:r>
      <w:proofErr w:type="gramEnd"/>
      <w:r>
        <w:t>5], we</w:t>
      </w:r>
      <w:r>
        <w:t xml:space="preserve"> found that it also have relevant grouping advantage of sub-models thinking in implementation. It aims to iteratively build an ensemble of weak learners, in an attempt to generate a strong overall model. From this </w:t>
      </w:r>
      <w:proofErr w:type="gramStart"/>
      <w:r>
        <w:t>these idea</w:t>
      </w:r>
      <w:proofErr w:type="gramEnd"/>
      <w:r>
        <w:t xml:space="preserve">, we can see that grouping base </w:t>
      </w:r>
      <w:r>
        <w:t>level’s existing classifiers in proper way is an important and strong method in machine learning</w:t>
      </w:r>
    </w:p>
    <w:p w14:paraId="47B27F0B" w14:textId="77777777" w:rsidR="004E378C" w:rsidRDefault="004E378C">
      <w:pPr>
        <w:pStyle w:val="Default"/>
        <w:spacing w:before="0" w:after="240" w:line="340" w:lineRule="atLeast"/>
        <w:rPr>
          <w:rFonts w:ascii="Times Roman" w:eastAsia="Times Roman" w:hAnsi="Times Roman" w:cs="Times Roman"/>
          <w:sz w:val="29"/>
          <w:szCs w:val="29"/>
        </w:rPr>
      </w:pPr>
    </w:p>
    <w:p w14:paraId="25C0A9CE" w14:textId="77777777" w:rsidR="004E378C" w:rsidRPr="00E12C99" w:rsidRDefault="00414E69">
      <w:pPr>
        <w:pStyle w:val="Body"/>
        <w:rPr>
          <w:lang w:val="en-CN"/>
        </w:rPr>
      </w:pPr>
      <w:r w:rsidRPr="00E12C99">
        <w:rPr>
          <w:lang w:val="en-CN"/>
        </w:rPr>
        <w:lastRenderedPageBreak/>
        <w:t xml:space="preserve">[1] </w:t>
      </w:r>
      <w:r>
        <w:rPr>
          <w:rStyle w:val="Hyperlink0"/>
        </w:rPr>
        <w:fldChar w:fldCharType="begin"/>
      </w:r>
      <w:r w:rsidRPr="00E12C99">
        <w:rPr>
          <w:rStyle w:val="Hyperlink0"/>
          <w:lang w:val="en-CN"/>
        </w:rPr>
        <w:instrText xml:space="preserve"> HYPERLINK "https://www.kdd.org/kdd-cup/view/kdd-cup-2009"</w:instrText>
      </w:r>
      <w:r>
        <w:rPr>
          <w:rStyle w:val="Hyperlink0"/>
        </w:rPr>
        <w:fldChar w:fldCharType="separate"/>
      </w:r>
      <w:r w:rsidRPr="00E12C99">
        <w:rPr>
          <w:rStyle w:val="Hyperlink0"/>
          <w:lang w:val="en-CN"/>
        </w:rPr>
        <w:t>https://www.kdd.org/kdd-cup/view/kdd-cup-2009</w:t>
      </w:r>
      <w:r>
        <w:fldChar w:fldCharType="end"/>
      </w:r>
    </w:p>
    <w:p w14:paraId="6B3F1162" w14:textId="77777777" w:rsidR="004E378C" w:rsidRDefault="00414E69">
      <w:pPr>
        <w:pStyle w:val="Body"/>
      </w:pPr>
      <w:r>
        <w:t xml:space="preserve">[2] </w:t>
      </w:r>
      <w:proofErr w:type="spellStart"/>
      <w:r>
        <w:t>Alexandru</w:t>
      </w:r>
      <w:proofErr w:type="spellEnd"/>
      <w:r>
        <w:t xml:space="preserve"> Niculescu-</w:t>
      </w:r>
      <w:proofErr w:type="spellStart"/>
      <w:r>
        <w:t>Mizil</w:t>
      </w:r>
      <w:proofErr w:type="spellEnd"/>
      <w:r>
        <w:t xml:space="preserve">, Claudia </w:t>
      </w:r>
      <w:proofErr w:type="spellStart"/>
      <w:r>
        <w:t>Perlich</w:t>
      </w:r>
      <w:proofErr w:type="spellEnd"/>
      <w:r>
        <w:t>,</w:t>
      </w:r>
      <w:r>
        <w:t xml:space="preserve"> Grzegorz </w:t>
      </w:r>
      <w:proofErr w:type="spellStart"/>
      <w:r>
        <w:t>Swirszcz</w:t>
      </w:r>
      <w:proofErr w:type="spellEnd"/>
      <w:r>
        <w:t xml:space="preserve">, Vikas </w:t>
      </w:r>
      <w:proofErr w:type="spellStart"/>
      <w:r>
        <w:t>Sindhwani</w:t>
      </w:r>
      <w:proofErr w:type="spellEnd"/>
      <w:r>
        <w:t xml:space="preserve">, Yan Liu, Prem Melville, Dong Wang, Jing Xiao, </w:t>
      </w:r>
      <w:proofErr w:type="spellStart"/>
      <w:r>
        <w:t>Jianying</w:t>
      </w:r>
      <w:proofErr w:type="spellEnd"/>
      <w:r>
        <w:t xml:space="preserve"> Hu, </w:t>
      </w:r>
      <w:proofErr w:type="spellStart"/>
      <w:r>
        <w:t>Moninder</w:t>
      </w:r>
      <w:proofErr w:type="spellEnd"/>
      <w:r>
        <w:t xml:space="preserve"> Singh, Wei </w:t>
      </w:r>
      <w:proofErr w:type="spellStart"/>
      <w:r>
        <w:t>Xiong</w:t>
      </w:r>
      <w:proofErr w:type="spellEnd"/>
      <w:r>
        <w:t xml:space="preserve"> Shang, Yan Feng Zhu</w:t>
      </w:r>
      <w:r>
        <w:t>, Winning the KDD Cup Orange Challenge with Ensemble Selection, 2009</w:t>
      </w:r>
    </w:p>
    <w:p w14:paraId="6D8ADCBA" w14:textId="77777777" w:rsidR="004E378C" w:rsidRDefault="00414E69">
      <w:pPr>
        <w:pStyle w:val="Body"/>
      </w:pPr>
      <w:r>
        <w:t xml:space="preserve">[3] </w:t>
      </w:r>
      <w:r>
        <w:t xml:space="preserve">Rich Caruana and </w:t>
      </w:r>
      <w:proofErr w:type="spellStart"/>
      <w:r>
        <w:t>Alexandru</w:t>
      </w:r>
      <w:proofErr w:type="spellEnd"/>
      <w:r>
        <w:t xml:space="preserve"> Niculescu-</w:t>
      </w:r>
      <w:proofErr w:type="spellStart"/>
      <w:r>
        <w:t>Mizil</w:t>
      </w:r>
      <w:proofErr w:type="spellEnd"/>
      <w:r>
        <w:t xml:space="preserve">. Ensemble selection from libraries of models. In </w:t>
      </w:r>
    </w:p>
    <w:p w14:paraId="0342BCCA" w14:textId="77777777" w:rsidR="004E378C" w:rsidRDefault="00414E69">
      <w:pPr>
        <w:pStyle w:val="Default"/>
        <w:spacing w:before="0" w:after="240" w:line="300" w:lineRule="atLeast"/>
        <w:rPr>
          <w:rFonts w:ascii="Times Roman" w:eastAsia="Times Roman" w:hAnsi="Times Roman" w:cs="Times Roman"/>
          <w:sz w:val="27"/>
          <w:szCs w:val="27"/>
        </w:rPr>
      </w:pPr>
      <w:r>
        <w:rPr>
          <w:rFonts w:ascii="Times Roman" w:hAnsi="Times Roman"/>
          <w:sz w:val="27"/>
          <w:szCs w:val="27"/>
          <w:lang w:val="en-US"/>
        </w:rPr>
        <w:t>Proceedings of the 21st International Conference on Machine Learning (ICML</w:t>
      </w:r>
      <w:r>
        <w:rPr>
          <w:rFonts w:ascii="Times Roman" w:hAnsi="Times Roman"/>
          <w:sz w:val="27"/>
          <w:szCs w:val="27"/>
          <w:rtl/>
        </w:rPr>
        <w:t>’</w:t>
      </w:r>
      <w:r>
        <w:rPr>
          <w:rFonts w:ascii="Times Roman" w:hAnsi="Times Roman"/>
          <w:sz w:val="27"/>
          <w:szCs w:val="27"/>
        </w:rPr>
        <w:t>04), 2004.</w:t>
      </w:r>
    </w:p>
    <w:p w14:paraId="3251568B" w14:textId="77777777" w:rsidR="004E378C" w:rsidRDefault="00414E69">
      <w:pPr>
        <w:pStyle w:val="Body"/>
      </w:pPr>
      <w:r>
        <w:t xml:space="preserve">[4] </w:t>
      </w:r>
      <w:proofErr w:type="spellStart"/>
      <w:r>
        <w:t>Alexandru</w:t>
      </w:r>
      <w:proofErr w:type="spellEnd"/>
      <w:r>
        <w:t xml:space="preserve"> Niculescu-</w:t>
      </w:r>
      <w:proofErr w:type="spellStart"/>
      <w:r>
        <w:t>Mizil</w:t>
      </w:r>
      <w:proofErr w:type="spellEnd"/>
      <w:r>
        <w:t xml:space="preserve"> and Rich Caruana. Predicting good probabilities with supervised learn- </w:t>
      </w:r>
      <w:proofErr w:type="spellStart"/>
      <w:r>
        <w:t>ing</w:t>
      </w:r>
      <w:proofErr w:type="spellEnd"/>
      <w:r>
        <w:t>. In Proceeding</w:t>
      </w:r>
      <w:r>
        <w:t>s of the 22nd International Conference on Machine Learning (ICML</w:t>
      </w:r>
      <w:r>
        <w:rPr>
          <w:rtl/>
        </w:rPr>
        <w:t>’</w:t>
      </w:r>
      <w:r>
        <w:t xml:space="preserve">05), 2005. </w:t>
      </w:r>
    </w:p>
    <w:p w14:paraId="7571DF12" w14:textId="77777777" w:rsidR="004E378C" w:rsidRDefault="00414E69">
      <w:pPr>
        <w:pStyle w:val="Body"/>
      </w:pPr>
      <w:r>
        <w:t xml:space="preserve">[5] </w:t>
      </w:r>
      <w:hyperlink r:id="rId7" w:history="1">
        <w:r>
          <w:rPr>
            <w:lang w:val="de-DE"/>
          </w:rPr>
          <w:t>SACHIN JOGLEKAR</w:t>
        </w:r>
      </w:hyperlink>
      <w:r>
        <w:t>,A (small) introduction to </w:t>
      </w:r>
      <w:proofErr w:type="spellStart"/>
      <w:r>
        <w:rPr>
          <w:lang w:val="nl-NL"/>
        </w:rPr>
        <w:t>Boosting</w:t>
      </w:r>
      <w:proofErr w:type="spellEnd"/>
      <w:r>
        <w:t>, 2016</w:t>
      </w:r>
    </w:p>
    <w:sectPr w:rsidR="004E378C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A9C0D" w14:textId="77777777" w:rsidR="00414E69" w:rsidRDefault="00414E69">
      <w:r>
        <w:separator/>
      </w:r>
    </w:p>
  </w:endnote>
  <w:endnote w:type="continuationSeparator" w:id="0">
    <w:p w14:paraId="3B3B4A9A" w14:textId="77777777" w:rsidR="00414E69" w:rsidRDefault="00414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F9E6B" w14:textId="77777777" w:rsidR="004E378C" w:rsidRDefault="004E37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99082" w14:textId="77777777" w:rsidR="00414E69" w:rsidRDefault="00414E69">
      <w:r>
        <w:separator/>
      </w:r>
    </w:p>
  </w:footnote>
  <w:footnote w:type="continuationSeparator" w:id="0">
    <w:p w14:paraId="74DFB994" w14:textId="77777777" w:rsidR="00414E69" w:rsidRDefault="00414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CABD7" w14:textId="77777777" w:rsidR="004E378C" w:rsidRDefault="004E378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78C"/>
    <w:rsid w:val="00414E69"/>
    <w:rsid w:val="004E378C"/>
    <w:rsid w:val="00E1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CF15"/>
  <w15:docId w15:val="{79F60308-922D-8742-B914-24E5307C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C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0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0">
    <w:name w:val="Body"/>
    <w:rPr>
      <w:rFonts w:ascii="Helvetica Neue" w:hAnsi="Helvetica Neue" w:cs="Arial Unicode MS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table" w:styleId="TableGrid">
    <w:name w:val="Table Grid"/>
    <w:basedOn w:val="TableNormal"/>
    <w:uiPriority w:val="39"/>
    <w:rsid w:val="00E12C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desachin.wordpress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2FACEE-BC13-A741-BC7D-AA4BAA396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 Kai</cp:lastModifiedBy>
  <cp:revision>2</cp:revision>
  <dcterms:created xsi:type="dcterms:W3CDTF">2020-04-17T09:16:00Z</dcterms:created>
  <dcterms:modified xsi:type="dcterms:W3CDTF">2020-04-17T09:18:00Z</dcterms:modified>
</cp:coreProperties>
</file>