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4381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i w:val="false"/>
          <w:iCs w:val="false"/>
          <w:color w:val="111111"/>
          <w:spacing w:val="8"/>
          <w:sz w:val="17"/>
          <w:szCs w:val="17"/>
        </w:rPr>
        <w:t xml:space="preserve">    ТОО «MOST Architects»</w:t>
      </w:r>
    </w:p>
    <w:p>
      <w:pPr>
        <w:pBdr>
          <w:bottom w:val="single" w:color="111111" w:sz="8" w:space="8"/>
        </w:pBdr>
        <w:spacing w:after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г. Алматы, ул. Утеген батыра 11в к6/1   ·   +7 771 733 77 00   ·   most-a.com</w:t>
      </w:r>
    </w:p>
    <w:p>
      <w:pPr>
        <w:spacing w:after="3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pacing w:val="8"/>
          <w:sz w:val="26"/>
          <w:szCs w:val="26"/>
        </w:rPr>
        <w:t xml:space="preserve">КОММЕРЧЕСКОЕ ПРЕДЛОЖЕНИЕ</w:t>
      </w:r>
    </w:p>
    <w:p>
      <w:pPr>
        <w:spacing w:after="3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на разработку форэскиза, концепции и эскизного проекта гостиничного комплекса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9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Объект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Гостиничный комплекс категории 4 звезды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Адрес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г. Алматы, ул. Бухтарминская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Земельный участок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1,4 га (14 000 м²)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Стадия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Форэскиз (выполнен), концепция и эскизный проект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Дата предложения</w:t>
            </w:r>
          </w:p>
        </w:tc>
        <w:tc>
          <w:tcPr>
            <w:tcW w:type="dxa" w:w="663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август 2026 г.</w:t>
            </w:r>
          </w:p>
        </w:tc>
      </w:tr>
    </w:tbl>
    <w:p>
      <w:pPr>
        <w:pBdr>
          <w:bottom w:val="single" w:color="111111" w:sz="6" w:space="6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1. БАЗА РАСЧЁТА СТОИМОСТИ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9"/>
        <w:gridCol w:w="3200"/>
      </w:tblGrid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Площадь 1-го этажа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4 446,90 м²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Площадь номеров, нетто (этажи 2–5)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12 693,32 м²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Коридоры и узлы этажей 2–5 (расчётно, коэф. 0,70)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5 439,99 м²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Надземная часть, всего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22 580,21 м²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Подземный этаж 4 941,11 м² с понижающим коэффициентом 0,7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3 458,78 м²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Расчётная площадь для определения стоимости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26 038,99 м²</w:t>
            </w:r>
          </w:p>
        </w:tc>
      </w:tr>
    </w:tbl>
    <w:p>
      <w:pPr>
        <w:spacing w:after="140"/>
      </w:pPr>
    </w:p>
    <w:p>
      <w:pPr>
        <w:spacing w:after="100" w:before="0" w:line="23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7"/>
          <w:szCs w:val="17"/>
        </w:rPr>
        <w:t xml:space="preserve">Позиции с пометкой «расчётно» получены расчётом бюро: в исходных технико-экономических показателях генерального плана они не выделены. Стоимость работ по настоящему предложению подлежит пересчёту по фактической площади объекта, утверждённой на стадии эскизного проекта, с сохранением ставки за квадратный метр. Площадь подземного этажа учитывается в расчёте с понижающим коэффициентом 0,7.</w:t>
      </w:r>
    </w:p>
    <w:p>
      <w:pPr>
        <w:pBdr>
          <w:bottom w:val="single" w:color="111111" w:sz="6" w:space="6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2. СТОИМОСТЬ РАБОТ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9"/>
        <w:gridCol w:w="1400"/>
        <w:gridCol w:w="1500"/>
        <w:gridCol w:w="1500"/>
      </w:tblGrid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3"/>
                <w:spacing w:val="6"/>
                <w:sz w:val="16"/>
                <w:szCs w:val="16"/>
              </w:rPr>
              <w:t xml:space="preserve">Стадия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3"/>
                <w:spacing w:val="6"/>
                <w:sz w:val="16"/>
                <w:szCs w:val="16"/>
              </w:rPr>
              <w:t xml:space="preserve">Доля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3"/>
                <w:spacing w:val="6"/>
                <w:sz w:val="16"/>
                <w:szCs w:val="16"/>
              </w:rPr>
              <w:t xml:space="preserve">₸ / м²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3"/>
                <w:spacing w:val="6"/>
                <w:sz w:val="16"/>
                <w:szCs w:val="16"/>
              </w:rPr>
              <w:t xml:space="preserve">Сумма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Стадия 1. Форэскиз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5 207 798 ₸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Стадия 2. Концепция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10 415 596 ₸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Стадия 3. Эскизный проект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70 %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36 454 586 ₸</w:t>
            </w:r>
          </w:p>
        </w:tc>
      </w:tr>
      <w:tr>
        <w:tc>
          <w:tcPr>
            <w:tcW w:type="dxa" w:w="523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Итого по предложению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52 077 980 ₸</w:t>
            </w:r>
          </w:p>
        </w:tc>
      </w:tr>
    </w:tbl>
    <w:p>
      <w:pPr>
        <w:spacing w:after="140"/>
      </w:pPr>
    </w:p>
    <w:p>
      <w:pPr>
        <w:spacing w:after="100" w:before="0" w:line="26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7"/>
          <w:szCs w:val="17"/>
        </w:rPr>
        <w:t xml:space="preserve">Стоимость указана с учётом НДС, расчёт от площади 26 038,99 м². В том числе: сумма без НДС — 44 894 810,34 ₸, НДС 16 % — 7 183 169,66 ₸.</w:t>
      </w:r>
    </w:p>
    <w:p>
      <w:pPr>
        <w:pBdr>
          <w:bottom w:val="single" w:color="111111" w:sz="6" w:space="6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3. СОСТАВ РАБОТ</w:t>
      </w:r>
    </w:p>
    <w:p>
      <w:pPr>
        <w:spacing w:after="12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Стадия 1. Форэскиз</w:t>
      </w:r>
      <w:r>
        <w:rPr>
          <w:rFonts w:ascii="Arial" w:cs="Arial" w:eastAsia="Arial" w:hAnsi="Arial"/>
          <w:b/>
          <w:bCs/>
          <w:i w:val="false"/>
          <w:iCs w:val="false"/>
          <w:color w:val="FF4D23"/>
          <w:sz w:val="17"/>
          <w:szCs w:val="17"/>
        </w:rPr>
        <w:t xml:space="preserve">   — выполнено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Градостроительный анализ участка и окружения, ограничения застройки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Посадка комплекса на участок, генеральный план, отступы от границ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Объёмно-пространственное решение, этажность, силуэт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Предварительные технико-экономические показатели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Архитектурное решение фасадов, ведомость отделочных материалов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Визуализации — 11 ракурсов (экстерьер, интерьеры общественных зон и номера)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Комплект презентационных материалов для градостроительного совета</w:t>
      </w:r>
    </w:p>
    <w:p>
      <w:pPr>
        <w:spacing w:after="180"/>
      </w:pPr>
    </w:p>
    <w:p>
      <w:pPr>
        <w:spacing w:after="12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Стадия 2. Концепция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Уточнение генерального плана по итогам рассмотрения градостроительным советом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Функциональное зонирование по этажам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Планировочное решение первого этажа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Фасады и характерные разрезы с высотными отметками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Уточнённые технико-экономические показатели, коэффициенты застройки и использования территории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Баланс территории: озеленение, покрытия, проезды, площадки</w:t>
      </w:r>
    </w:p>
    <w:p>
      <w:pPr>
        <w:spacing w:after="180"/>
      </w:pPr>
    </w:p>
    <w:p>
      <w:pPr>
        <w:spacing w:after="120" w:before="0" w:line="2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1"/>
          <w:szCs w:val="21"/>
        </w:rPr>
        <w:t xml:space="preserve">Стадия 3. Эскизный проект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Планировочные решения всех этажей, типы номеров, итоговая ёмкость номерного фонда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Планировка подземного этажа, расчёт машино-мест по действующему нормативу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Схема транспортного обслуживания, узлы въезда, пожарные проезды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Пояснительная записка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Комплект документации для получения архитектурно-планировочного задания</w:t>
      </w:r>
    </w:p>
    <w:p>
      <w:pPr>
        <w:pBdr>
          <w:bottom w:val="single" w:color="111111" w:sz="6" w:space="6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4. СРОКИ ВЫПОЛНЕНИЯ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9"/>
        <w:gridCol w:w="3200"/>
      </w:tblGrid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Стадия 1. Форэскиз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Стадия 2. Концепция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 месяц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Стадия 3. Эскизный проект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2 месяца</w:t>
            </w:r>
          </w:p>
        </w:tc>
      </w:tr>
      <w:tr>
        <w:tc>
          <w:tcPr>
            <w:tcW w:type="dxa" w:w="643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Всего по оставшимся стадиям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3 месяца</w:t>
            </w:r>
          </w:p>
        </w:tc>
      </w:tr>
    </w:tbl>
    <w:p>
      <w:pPr>
        <w:spacing w:after="140"/>
      </w:pPr>
    </w:p>
    <w:p>
      <w:pPr>
        <w:spacing w:after="100" w:before="0" w:line="26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7"/>
          <w:szCs w:val="17"/>
        </w:rPr>
        <w:t xml:space="preserve">Отсчёт срока каждой стадии начинается с даты поступления аванса и передачи заказчиком исходных данных в полном объёме.</w:t>
      </w:r>
    </w:p>
    <w:p>
      <w:pPr>
        <w:pBdr>
          <w:bottom w:val="single" w:color="111111" w:sz="6" w:space="6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5. ПОРЯДОК ОПЛАТЫ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Стадия 1 (выполнена): 100 % при подписании договора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Стадия 2: аванс 50 % при старте стадии, 50 % по передаче материалов стадии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Стадия 3: аванс 50 % при старте стадии, 50 % по передаче материалов стадии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Рабочие файлы и исходники передаются заказчику после полной оплаты соответствующей стадии</w:t>
      </w:r>
    </w:p>
    <w:p>
      <w:pPr>
        <w:pBdr>
          <w:bottom w:val="single" w:color="111111" w:sz="6" w:space="6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6. НЕ ВХОДИТ В НАСТОЯЩЕЕ ПРЕДЛОЖЕНИЕ</w:t>
      </w:r>
    </w:p>
    <w:p>
      <w:pPr>
        <w:spacing w:after="14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Перечисленные работы могут быть выполнены по отдельному договору.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Рабочая документация и проектно-сметная документация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Смежные разделы: конструктивные решения, отопление и вентиляция, водоснабжение и канализация, электроснабжение, слаботочные системы, проект организации строительства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Проект санитарно-защитной зоны от смежной автозаправочной станции и расчёт рассеивания. Необходимость определяется после подтверждения типа станции и установленного размера её СЗЗ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Инженерно-геологические и геодезические изыскания, топографическая съёмка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Авторский надзор за строительством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Ведение согласований в государственных органах. Бюро участвует в защите проектных решений, подача и сопровождение — на стороне заказчика</w:t>
      </w:r>
    </w:p>
    <w:p>
      <w:pPr>
        <w:pBdr>
          <w:bottom w:val="single" w:color="111111" w:sz="6" w:space="6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FF4D23"/>
          <w:spacing w:val="6"/>
          <w:sz w:val="19"/>
          <w:szCs w:val="19"/>
        </w:rPr>
        <w:t xml:space="preserve">7. УСЛОВИЯ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Исходные данные, предоставляемые заказчиком: топографическая съёмка, правоустанавливающие документы на участок, архитектурно-планировочное задание, технические условия на подключение к инженерным сетям, задание на проектирование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Изменение состава работ, площади объекта или градостроительных условий влечёт пересмотр стоимости и сроков</w:t>
      </w:r>
    </w:p>
    <w:p>
      <w:pPr>
        <w:spacing w:after="55" w:line="245"/>
        <w:ind w:left="200" w:hanging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FF4D23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Настоящее предложение действительно в течение 10 рабочих дней с даты его направления</w:t>
      </w:r>
    </w:p>
    <w:p>
      <w:pPr>
        <w:spacing w:after="320"/>
      </w:pP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4619"/>
      </w:tblGrid>
      <w:tr>
        <w:tc>
          <w:tcPr>
            <w:tcW w:type="dxa" w:w="461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3"/>
                <w:spacing w:val="6"/>
                <w:sz w:val="16"/>
                <w:szCs w:val="16"/>
              </w:rPr>
              <w:t xml:space="preserve">ИСПОЛНИТЕЛЬ</w:t>
            </w:r>
          </w:p>
        </w:tc>
        <w:tc>
          <w:tcPr>
            <w:tcW w:type="dxa" w:w="4619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4D23"/>
                <w:spacing w:val="6"/>
                <w:sz w:val="16"/>
                <w:szCs w:val="16"/>
              </w:rPr>
              <w:t xml:space="preserve">ЗАКАЗЧИК</w:t>
            </w:r>
          </w:p>
        </w:tc>
      </w:tr>
      <w:tr>
        <w:tc>
          <w:tcPr>
            <w:tcW w:type="dxa" w:w="461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ТОО «MOST Architects»</w:t>
            </w:r>
          </w:p>
        </w:tc>
        <w:tc>
          <w:tcPr>
            <w:tcW w:type="dxa" w:w="461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20"/>
                <w:szCs w:val="20"/>
              </w:rPr>
              <w:t xml:space="preserve">______________________________</w:t>
            </w:r>
          </w:p>
        </w:tc>
      </w:tr>
      <w:tr>
        <w:tc>
          <w:tcPr>
            <w:tcW w:type="dxa" w:w="461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г. Алматы, ул. Утеген батыра 11в к6/1</w:t>
            </w:r>
          </w:p>
        </w:tc>
        <w:tc>
          <w:tcPr>
            <w:tcW w:type="dxa" w:w="461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20"/>
                <w:szCs w:val="20"/>
              </w:rPr>
              <w:t xml:space="preserve">______________________________</w:t>
            </w:r>
          </w:p>
        </w:tc>
      </w:tr>
      <w:tr>
        <w:tc>
          <w:tcPr>
            <w:tcW w:type="dxa" w:w="461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Директор  ______________  Иманкулов И.Т.</w:t>
            </w:r>
          </w:p>
        </w:tc>
        <w:tc>
          <w:tcPr>
            <w:tcW w:type="dxa" w:w="461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20"/>
                <w:szCs w:val="20"/>
              </w:rPr>
              <w:t xml:space="preserve">______________________________</w:t>
            </w:r>
          </w:p>
        </w:tc>
      </w:tr>
      <w:tr>
        <w:tc>
          <w:tcPr>
            <w:tcW w:type="dxa" w:w="461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М.П.</w:t>
            </w:r>
          </w:p>
        </w:tc>
        <w:tc>
          <w:tcPr>
            <w:tcW w:type="dxa" w:w="4619"/>
            <w:tcBorders>
              <w:top w:val="none" w:color="FFFFFF" w:sz="0"/>
              <w:left w:val="none" w:color="FFFFFF" w:sz="0"/>
              <w:bottom w:val="single" w:color="DCDCDC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подпись, дата</w:t>
            </w:r>
          </w:p>
        </w:tc>
      </w:tr>
    </w:tbl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6b22c2d5c38170c8dec837b00537b1db80524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— концепция и эскизный проект</dc:title>
  <dc:creator>MOST Architects</dc:creator>
  <cp:lastModifiedBy>Un-named</cp:lastModifiedBy>
  <cp:revision>1</cp:revision>
  <dcterms:created xsi:type="dcterms:W3CDTF">2026-08-29T08:05:01.599Z</dcterms:created>
  <dcterms:modified xsi:type="dcterms:W3CDTF">2026-08-29T08:05:01.599Z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