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4381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111111"/>
          <w:spacing w:val="8"/>
          <w:sz w:val="17"/>
          <w:szCs w:val="17"/>
        </w:rPr>
        <w:t xml:space="preserve">    ТОО «MOST Architects»</w:t>
      </w:r>
    </w:p>
    <w:p>
      <w:pPr>
        <w:pBdr>
          <w:bottom w:val="single" w:color="111111" w:sz="8" w:space="8"/>
        </w:pBdr>
        <w:spacing w:after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г. Алматы, ул. Утеген батыра 11в к6/1   ·   +7 771 733 77 00   ·   most-a.com</w:t>
      </w:r>
    </w:p>
    <w:p>
      <w:pPr>
        <w:spacing w:after="3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pacing w:val="8"/>
          <w:sz w:val="26"/>
          <w:szCs w:val="26"/>
        </w:rPr>
        <w:t xml:space="preserve">КОММЕРЧЕСКОЕ ПРЕДЛОЖЕНИЕ</w:t>
      </w:r>
    </w:p>
    <w:p>
      <w:pPr>
        <w:keepNext w:val="false"/>
        <w:keepLines/>
        <w:spacing w:after="3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 разработку форэскиза, концепции и эскизного проекта гостиничного комплекса с бизнес-центром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9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Гостиничный комплекс категории 4 звезды с бизнес-центром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г. Алматы, ул. Бухтарминская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Земельный участок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1,4 га (14 000 м²)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Номерной фонд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280 номеров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Стадия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Форэскиз, концепция и эскизный проект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Дата предложения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31 августа 2026 г.</w:t>
            </w:r>
          </w:p>
        </w:tc>
      </w:tr>
    </w:tbl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1. БАЗА РАСЧЁТА СТОИМОСТИ</w:t>
      </w:r>
    </w:p>
    <w:p>
      <w:pPr>
        <w:spacing w:after="8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200" w:before="0" w:line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Посадка комплекса на участок. Площади в таблице приведены по проекту генерального плана от 31.08.2026.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9"/>
        <w:gridCol w:w="3200"/>
      </w:tblGrid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Площадь 1-го этажа — общественные функции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4 483,04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Номерной фонд, нетто (этажи 2–5)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7 665,29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Бизнес-центр, нетто (этажи 2–5)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4 895,11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Полезная площадь здания — расчётная площадь для определения стоимости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17 043,44 м²</w:t>
            </w:r>
          </w:p>
        </w:tc>
      </w:tr>
    </w:tbl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2. СТОИМОСТЬ РАБОТ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9"/>
        <w:gridCol w:w="1600"/>
        <w:gridCol w:w="2800"/>
      </w:tblGrid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Стадия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Доля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Сумма без НДС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Стадия 1. Форэскиз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2 938 524,14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Стадия 2. Концепция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40 %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11 754 096,55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Стадия 3. Эскизный проект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50 %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14 692 620,69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Итого по прайсу без НДС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100 %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29 385 241,38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Скидка: стоимость стадии 1 при договоре на все три стадии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− 2 938 524,14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Итого со скидкой без НДС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26 446 717,24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НДС 16 %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4 231 474,76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Итого к оплате с НДС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30 678 192,00 ₸</w:t>
            </w:r>
          </w:p>
        </w:tc>
      </w:tr>
    </w:tbl>
    <w:p>
      <w:pPr>
        <w:spacing w:after="140"/>
      </w:pPr>
    </w:p>
    <w:p>
      <w:pPr>
        <w:keepNext w:val="false"/>
        <w:keepLines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Ставка: 2 000 тенге с НДС за 1 м² полезной площади.</w:t>
      </w:r>
    </w:p>
    <w:p>
      <w:pPr>
        <w:keepNext w:val="false"/>
        <w:keepLines/>
        <w:spacing w:after="100" w:before="0" w:line="26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7"/>
          <w:szCs w:val="17"/>
        </w:rPr>
        <w:t xml:space="preserve">Скидка предоставлена единовременно по настоящему предложению. На ставку за 1 м² она не влияет и на последующие стадии проектирования не распространяется.</w:t>
      </w:r>
    </w:p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3. СОСТАВ РАБОТ</w:t>
      </w:r>
    </w:p>
    <w:p>
      <w:pPr>
        <w:keepNext/>
        <w:keepLines/>
        <w:spacing w:after="12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Стадия 1. Форэскиз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Градостроительный анализ участка и окружения, ограничения застройки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Посадка комплекса на участок, генеральный план, отступы от границ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Объёмно-пространственное решение, этажность, силуэт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Предварительные технико-экономические показатели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Архитектурное решение фасадов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Визуализации объёмного решения — 3 ракурса экстерьера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Презентационные материалы для предварительного согласования</w:t>
      </w:r>
    </w:p>
    <w:p>
      <w:pPr>
        <w:spacing w:after="90"/>
      </w:pPr>
    </w:p>
    <w:p>
      <w:pPr>
        <w:keepNext/>
        <w:keepLines/>
        <w:spacing w:after="12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Стадия 2. Концепция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Уточнение генерального плана по итогам предварительного согласования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Функциональное зонирование по этажам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Планировочное решение первого этажа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Фасады и характерные разрезы с высотными отметками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Ведомость отделочных материалов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Визуализации экстерьера — 3 ракурса, включая вечерний вид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Уточнённые технико-экономические показатели, коэффициенты застройки и использования территории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Баланс территории: озеленение, покрытия, проезды, площадки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Комплект презентационных материалов для градостроительного совета</w:t>
      </w:r>
    </w:p>
    <w:p>
      <w:pPr>
        <w:spacing w:after="90"/>
      </w:pPr>
    </w:p>
    <w:p>
      <w:pPr>
        <w:keepNext/>
        <w:keepLines/>
        <w:spacing w:after="12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Стадия 3. Эскизный проект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Планировочные решения всех этажей, типы номеров, итоговая ёмкость номерного фонда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Расчёт машино-мест по действующему нормативу, планировочное решение наземных стоянок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Схема транспортного обслуживания, узлы въезда, пожарные проезды</w:t>
      </w:r>
    </w:p>
    <w:p>
      <w:pPr>
        <w:keepNext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Пояснительная записка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Комплект документации для получения архитектурно-планировочного задания</w:t>
      </w:r>
    </w:p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4. СРОКИ ВЫПОЛНЕНИЯ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9"/>
        <w:gridCol w:w="3200"/>
      </w:tblGrid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Стадия 1. Форэскиз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 неделя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Стадия 2. Концепция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 месяц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Стадия 3. Эскизный проект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 месяца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Всего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keepNext w:val="false"/>
              <w:keepLines/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13 недель</w:t>
            </w:r>
          </w:p>
        </w:tc>
      </w:tr>
    </w:tbl>
    <w:p>
      <w:pPr>
        <w:spacing w:after="140"/>
      </w:pPr>
    </w:p>
    <w:p>
      <w:pPr>
        <w:keepNext w:val="false"/>
        <w:keepLines/>
        <w:spacing w:after="100" w:before="0" w:line="26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7"/>
          <w:szCs w:val="17"/>
        </w:rPr>
        <w:t xml:space="preserve">Отсчёт срока каждой стадии начинается с даты поступления аванса и передачи заказчиком исходных данных в полном объёме.</w:t>
      </w:r>
    </w:p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5. ПОРЯДОК ОПЛАТЫ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1: не оплачивается при заключении договора на все три стадии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2: аванс 50 % при старте стадии, 50 % по передаче материалов стадии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3: аванс 50 % при старте стадии, 50 % по передаче материалов стадии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Рабочие файлы и исходники передаются заказчику после полной оплаты соответствующей стадии</w:t>
      </w:r>
    </w:p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6. НЕ ВХОДИТ В НАСТОЯЩЕЕ ПРЕДЛОЖЕНИЕ</w:t>
      </w:r>
    </w:p>
    <w:p>
      <w:pPr>
        <w:keepNext w:val="false"/>
        <w:keepLines/>
        <w:spacing w:after="14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Перечисленные работы могут быть выполнены по отдельному договору.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Рабочая документация и проектно-сметная документация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Смежные разделы: конструктивные решения, отопление и вентиляция, водоснабжение и канализация, электроснабжение, слаботочные системы, проект организации строительства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Проект санитарно-защитной зоны от смежной автозаправочной станции и расчёт рассеивания. Необходимость определяется после подтверждения типа станции и установленного размера её СЗЗ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Инженерно-геологические и геодезические изыскания, топографическая съёмка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Дизайн-проект интерьеров. Интерьерные визуализации, передаваемые в составе презентационных материалов, носят иллюстративный характер и дизайн-проектом не являются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Авторский надзор за строительством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Ведение согласований в государственных органах. Бюро участвует в защите проектных решений, подача и сопровождение — на стороне заказчика</w:t>
      </w:r>
    </w:p>
    <w:p>
      <w:pPr>
        <w:keepNext/>
        <w:pBdr>
          <w:bottom w:val="single" w:color="111111" w:sz="6" w:space="6"/>
        </w:pBd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7. УСЛОВИЯ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Исходные данные, предоставляемые заказчиком: топографическая съёмка, правоустанавливающие документы на участок, архитектурно-планировочное задание, технические условия на подключение к инженерным сетям, задание на проектирование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Стоимость определена от полезной площади здания по проекту генерального плана. При изменении полезной площади стоимость пересчитывается по той же ставке за 1 м²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Скидка на стадию 1 действует при заключении договора на все три стадии. При прекращении работ после стадии 1 её стоимость подлежит оплате в полном объёме по прайсу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Изменение состава работ или градостроительных условий влечёт пересмотр стоимости и сроков</w:t>
      </w:r>
    </w:p>
    <w:p>
      <w:pPr>
        <w:keepNext w:val="false"/>
        <w:keepLines/>
        <w:spacing w:after="40" w:line="242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Настоящее предложение действительно в течение 10 рабочих дней с даты его направления</w:t>
      </w:r>
    </w:p>
    <w:p>
      <w:pPr>
        <w:spacing w:after="100"/>
      </w:pPr>
    </w:p>
    <w:p>
      <w:pPr>
        <w:keepNext/>
        <w:keepLines/>
        <w:spacing w:after="4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ТОО «MOST Architects»</w:t>
      </w:r>
    </w:p>
    <w:p>
      <w:pPr>
        <w:keepNext/>
        <w:keepLines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г. Алматы, ул. Утеген батыра 11в к6/1</w:t>
      </w:r>
    </w:p>
    <w:p>
      <w:pPr>
        <w:keepNext/>
        <w:keepLines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+7 771 733 77 00</w:t>
      </w:r>
    </w:p>
    <w:p>
      <w:pPr>
        <w:keepNext/>
        <w:keepLines/>
        <w:spacing w:after="5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most-a.com</w:t>
      </w:r>
    </w:p>
    <w:p>
      <w:pPr>
        <w:keepLines/>
        <w:spacing w:after="0" w:line="260"/>
      </w:pPr>
      <w:r>
        <w:drawing>
          <wp:anchor distT="0" distB="0" distL="0" distR="0" simplePos="0" allowOverlap="1" behindDoc="0" locked="0" layoutInCell="1" relativeHeight="1085850">
            <wp:simplePos x="0" y="0"/>
            <wp:positionH relativeFrom="column">
              <wp:posOffset>530352</wp:posOffset>
            </wp:positionH>
            <wp:positionV relativeFrom="paragraph">
              <wp:posOffset>-274320</wp:posOffset>
            </wp:positionV>
            <wp:extent cx="1123950" cy="10858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81075">
            <wp:simplePos x="0" y="0"/>
            <wp:positionH relativeFrom="column">
              <wp:posOffset>1188720</wp:posOffset>
            </wp:positionH>
            <wp:positionV relativeFrom="paragraph">
              <wp:posOffset>-420624</wp:posOffset>
            </wp:positionV>
            <wp:extent cx="1600200" cy="9810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Директор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20"/>
          <w:szCs w:val="20"/>
        </w:rPr>
        <w:t xml:space="preserve">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20"/>
          <w:szCs w:val="20"/>
        </w:rPr>
        <w:t xml:space="preserve">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          Иманкулов И.Т.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6b22c2d5c38170c8dec837b00537b1db805246.png"/><Relationship Id="rId8" Type="http://schemas.openxmlformats.org/officeDocument/2006/relationships/image" Target="media/29fc44440ee6079a57be16fdaddad1bb477ead12.jpg"/><Relationship Id="rId9" Type="http://schemas.openxmlformats.org/officeDocument/2006/relationships/image" Target="media/870c52dfece867857053911abe290334716fc5bd.png"/><Relationship Id="rId10" Type="http://schemas.openxmlformats.org/officeDocument/2006/relationships/image" Target="media/1d60af85564d71d7148cfdfedf18e136a47f3d4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концепция и эскизный проект</dc:title>
  <dc:creator>MOST Architects</dc:creator>
  <cp:lastModifiedBy>Un-named</cp:lastModifiedBy>
  <cp:revision>1</cp:revision>
  <dcterms:created xsi:type="dcterms:W3CDTF">2026-08-31T10:19:05.551Z</dcterms:created>
  <dcterms:modified xsi:type="dcterms:W3CDTF">2026-08-31T10:19:05.552Z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