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438150" cy="48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17"/>
          <w:szCs w:val="17"/>
        </w:rPr>
        <w:t xml:space="preserve">    ТОО «MOST Architects»</w:t>
      </w:r>
    </w:p>
    <w:p>
      <w:pPr>
        <w:pBdr>
          <w:bottom w:val="single" w:color="111111" w:sz="8" w:space="8"/>
        </w:pBd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6"/>
          <w:szCs w:val="16"/>
        </w:rPr>
        <w:t xml:space="preserve">г. Алматы, ул. Утеген батыра 11в к6/1   ·   +7 771 733 77 00   ·   most-a.com</w:t>
      </w:r>
    </w:p>
    <w:p>
      <w:pPr>
        <w:spacing w:after="360"/>
      </w:pP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pacing w:val="8"/>
          <w:sz w:val="26"/>
          <w:szCs w:val="26"/>
        </w:rPr>
        <w:t xml:space="preserve">КОММЕРЧЕСКОЕ ПРЕДЛОЖЕНИЕ</w:t>
      </w:r>
    </w:p>
    <w:p>
      <w:pPr>
        <w:keepNext w:val="false"/>
        <w:keepLines/>
        <w:spacing w:after="3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1"/>
          <w:szCs w:val="21"/>
        </w:rPr>
        <w:t xml:space="preserve">на разработку форэскиза, концепции и эскизного проекта гостиничного комплекса с бизнес-центром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9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Объект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Гостиничный комплекс категории 4 звезды с бизнес-центром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Адрес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г. Алматы, ул. Бухтарминская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Земельный участок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1,4 га (14 000 м²)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Номерной фонд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280 номеров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Стадия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Форэскиз, концепция и эскизный проект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8A8A8A"/>
                <w:sz w:val="18"/>
                <w:szCs w:val="18"/>
              </w:rPr>
              <w:t xml:space="preserve">Дата предложения</w:t>
            </w:r>
          </w:p>
        </w:tc>
        <w:tc>
          <w:tcPr>
            <w:tcW w:type="dxa" w:w="66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31 августа 2026 г.</w:t>
            </w:r>
          </w:p>
        </w:tc>
      </w:tr>
    </w:tbl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1. БАЗА РАСЧЁТА СТОИМОСТИ</w:t>
      </w:r>
    </w:p>
    <w:p>
      <w:pPr>
        <w:spacing w:after="80"/>
        <w:jc w:val="center"/>
      </w:pPr>
      <w:r>
        <w:drawing>
          <wp:inline distT="0" distB="0" distL="0" distR="0">
            <wp:extent cx="4762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keepLines/>
        <w:spacing w:after="200" w:before="0" w:line="2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6"/>
          <w:szCs w:val="16"/>
        </w:rPr>
        <w:t xml:space="preserve">Посадка комплекса на участок. Площади в таблице приведены по проекту генерального плана от 31.08.2026.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Площадь 1-го этажа — общественные функции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4 483,04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Номерной фонд,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7 665,29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Бизнес-центр, нетто (этажи 2–5)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4 895,11 м²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Полезная площадь здания — расчётная площадь для определения стоимости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17 043,44 м²</w:t>
            </w:r>
          </w:p>
        </w:tc>
      </w:tr>
    </w:tbl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2. СТОИМОСТЬ РАБОТ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39"/>
        <w:gridCol w:w="1600"/>
        <w:gridCol w:w="2800"/>
      </w:tblGrid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Доля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4D23"/>
                <w:spacing w:val="6"/>
                <w:sz w:val="16"/>
                <w:szCs w:val="16"/>
              </w:rPr>
              <w:t xml:space="preserve">Сумма без НДС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40 %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11 754 096,55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50 %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14 692 620,69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по прайсу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100 %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29 385 241,38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Скидка: стоимость стадии 1 при договоре на все три стадии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− 2 938 524,14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со скидкой без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26 446 717,24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НДС 16 %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4 231 474,76 ₸</w:t>
            </w:r>
          </w:p>
        </w:tc>
      </w:tr>
      <w:tr>
        <w:tc>
          <w:tcPr>
            <w:tcW w:type="dxa" w:w="52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Итого к оплате с НДС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30 678 192,00 ₸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8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18"/>
          <w:szCs w:val="18"/>
        </w:rPr>
        <w:t xml:space="preserve">Ставка: 2 000 тенге с НДС за 1 м² полезной площади.</w:t>
      </w: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Скидка предоставлена единовременно по настоящему предложению. На ставку за 1 м² она не влияет и на последующие стадии проектирования не распространяется.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3. СОСТАВ РАБОТ</w:t>
      </w: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1. Форэскиз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Градостроительный анализ участка и окружения, ограничения застройки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Посадка комплекса на участок, генеральный план, отступы от границ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Объёмно-пространственное решение, этажность, силуэт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Предварительные технико-экономические показатели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Архитектурное решение фасадов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объёмного решения — 3 ракурса экстерьера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Презентационные материалы для предварительного согласования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2. Концепция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Уточнение генерального плана по итогам предварительного согласования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Функциональное зонирование по этажам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Планировочное решение первого этажа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Фасады и характерные разрезы с высотными отметками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Ведомость отделочных материалов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Визуализации экстерьера — 3 ракурса, включая вечерний вид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Уточнённые технико-экономические показатели, коэффициенты застройки и использования территории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Баланс территории: озеленение, покрытия, проезды, площадки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презентационных материалов для градостроительного совета</w:t>
      </w:r>
    </w:p>
    <w:p>
      <w:pPr>
        <w:spacing w:after="90"/>
      </w:pPr>
    </w:p>
    <w:p>
      <w:pPr>
        <w:keepNext/>
        <w:keepLines/>
        <w:spacing w:after="12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Стадия 3. Эскизный проект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Планировочные решения всех этажей, типы номеров, итоговая ёмкость номерного фонда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Расчёт машино-мест по действующему нормативу, планировочное решение наземных стоянок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Схема транспортного обслуживания, узлы въезда, пожарные проезды</w:t>
      </w:r>
    </w:p>
    <w:p>
      <w:pPr>
        <w:keepNext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Пояснительная записка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Комплект документации для получения архитектурно-планировочного задания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4. СРОКИ ВЫПОЛНЕНИЯ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9"/>
        <w:gridCol w:w="3200"/>
      </w:tblGrid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1. Форэскиз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неделя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2. Концепция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 месяц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33333"/>
                <w:sz w:val="20"/>
                <w:szCs w:val="20"/>
              </w:rPr>
              <w:t xml:space="preserve">Стадия 3. Эскизный проект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CDCDC" w:sz="4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2 месяца</w:t>
            </w:r>
          </w:p>
        </w:tc>
      </w:tr>
      <w:tr>
        <w:tc>
          <w:tcPr>
            <w:tcW w:type="dxa" w:w="6439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Всего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111111" w:sz="8"/>
              <w:right w:val="none" w:color="FFFFFF" w:sz="0"/>
            </w:tcBorders>
            <w:tcMar>
              <w:top w:type="dxa" w:w="66"/>
              <w:left w:type="dxa" w:w="120"/>
              <w:bottom w:type="dxa" w:w="66"/>
              <w:right w:type="dxa" w:w="120"/>
            </w:tcMar>
          </w:tcPr>
          <w:p>
            <w:pPr>
              <w:keepNext w:val="false"/>
              <w:keepLines/>
              <w:spacing w:after="0" w:line="240"/>
              <w:jc w:val="righ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13 недель</w:t>
            </w:r>
          </w:p>
        </w:tc>
      </w:tr>
    </w:tbl>
    <w:p>
      <w:pPr>
        <w:spacing w:after="140"/>
      </w:pPr>
    </w:p>
    <w:p>
      <w:pPr>
        <w:keepNext w:val="false"/>
        <w:keepLines/>
        <w:spacing w:after="100" w:before="0" w:line="260"/>
      </w:pPr>
      <w:r>
        <w:rPr>
          <w:rFonts w:ascii="Arial" w:cs="Arial" w:eastAsia="Arial" w:hAnsi="Arial"/>
          <w:b w:val="false"/>
          <w:bCs w:val="false"/>
          <w:i/>
          <w:iCs/>
          <w:color w:val="8A8A8A"/>
          <w:sz w:val="17"/>
          <w:szCs w:val="17"/>
        </w:rPr>
        <w:t xml:space="preserve">Отсчёт срока каждой стадии начинается с даты поступления аванса и передачи заказчиком исходных данных в полном объёме.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5. ПОРЯДОК ОПЛАТЫ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1: не оплачивается при заключении договора на все три стадии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2: аванс 50 % при старте стадии, 50 % по передаче материалов стадии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Стадия 3: аванс 50 % при старте стадии, 50 % по передаче материалов стадии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Рабочие файлы и исходники передаются заказчику после полной оплаты соответствующей стадии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6. НЕ ВХОДИТ В НАСТОЯЩЕЕ ПРЕДЛОЖЕНИЕ</w:t>
      </w:r>
    </w:p>
    <w:p>
      <w:pPr>
        <w:keepNext w:val="false"/>
        <w:keepLines/>
        <w:spacing w:after="14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18"/>
          <w:szCs w:val="18"/>
        </w:rPr>
        <w:t xml:space="preserve">Перечисленные работы могут быть выполнены по отдельному договору.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Рабочая документация и проектно-сметная документация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Смежные разделы: конструктивные решения, отопление и вентиляция, водоснабжение и канализация, электроснабжение, слаботочные системы, проект организации строительства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Проект санитарно-защитной зоны от смежной автозаправочной станции и расчёт рассеивания. Необходимость определяется после подтверждения типа станции и установленного размера её СЗЗ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Инженерно-геологические и геодезические изыскания, топографическая съёмка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Дизайн-проект интерьеров. Интерьерные визуализации, передаваемые в составе презентационных материалов, носят иллюстративный характер и дизайн-проектом не являются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Авторский надзор за строительством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Ведение согласований в государственных органах. Бюро участвует в защите проектных решений, подача и сопровождение — на стороне заказчика</w:t>
      </w:r>
    </w:p>
    <w:p>
      <w:pPr>
        <w:keepNext/>
        <w:pBdr>
          <w:bottom w:val="single" w:color="111111" w:sz="6" w:space="6"/>
        </w:pBdr>
        <w:spacing w:after="100" w:before="160"/>
      </w:pPr>
      <w:r>
        <w:rPr>
          <w:rFonts w:ascii="Arial" w:cs="Arial" w:eastAsia="Arial" w:hAnsi="Arial"/>
          <w:b/>
          <w:bCs/>
          <w:i w:val="false"/>
          <w:iCs w:val="false"/>
          <w:color w:val="FF4D23"/>
          <w:spacing w:val="6"/>
          <w:sz w:val="19"/>
          <w:szCs w:val="19"/>
        </w:rPr>
        <w:t xml:space="preserve">7. УСЛОВИЯ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Исходные данные, предоставляемые заказчиком: топографическая съёмка, правоустанавливающие документы на участок, архитектурно-планировочное задание, технические условия на подключение к инженерным сетям, задание на проектирование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Стоимость определена от полезной площади здания по проекту генерального плана. При изменении полезной площади стоимость пересчитывается по той же ставке за 1 м²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Скидка на стадию 1 действует при заключении договора на все три стадии. При прекращении работ после стадии 1 её стоимость подлежит оплате в полном объёме по прайсу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Изменение состава работ или градостроительных условий влечёт пересмотр стоимости и сроков</w:t>
      </w:r>
    </w:p>
    <w:p>
      <w:pPr>
        <w:keepNext w:val="false"/>
        <w:keepLines/>
        <w:spacing w:after="40" w:line="242"/>
        <w:ind w:left="200" w:hanging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FF4D23"/>
          <w:sz w:val="20"/>
          <w:szCs w:val="20"/>
        </w:rPr>
        <w:t xml:space="preserve">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Настоящее предложение действительно в течение 10 рабочих дней с даты его направления</w:t>
      </w:r>
    </w:p>
    <w:p>
      <w:pPr>
        <w:spacing w:after="100"/>
      </w:pPr>
    </w:p>
    <w:p>
      <w:pPr>
        <w:keepNext/>
        <w:keepLines/>
        <w:spacing w:after="40" w:before="0" w:line="26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1"/>
          <w:szCs w:val="21"/>
        </w:rPr>
        <w:t xml:space="preserve">ТОО «MOST Architects»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г. Алматы, ул. Утеген батыра 11в к6/1</w:t>
      </w:r>
    </w:p>
    <w:p>
      <w:pPr>
        <w:keepNext/>
        <w:keepLines/>
        <w:spacing w:after="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+7 771 733 77 00</w:t>
      </w:r>
    </w:p>
    <w:p>
      <w:pPr>
        <w:keepNext/>
        <w:keepLines/>
        <w:spacing w:after="520" w:before="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18"/>
          <w:szCs w:val="18"/>
        </w:rPr>
        <w:t xml:space="preserve">most-a.com</w:t>
      </w:r>
    </w:p>
    <w:p>
      <w:pPr>
        <w:keepLines/>
        <w:spacing w:after="0" w:line="260"/>
      </w:pPr>
      <w:r>
        <w:drawing>
          <wp:anchor distT="0" distB="0" distL="0" distR="0" simplePos="0" allowOverlap="1" behindDoc="0" locked="0" layoutInCell="1" relativeHeight="1085850">
            <wp:simplePos x="0" y="0"/>
            <wp:positionH relativeFrom="column">
              <wp:posOffset>530352</wp:posOffset>
            </wp:positionH>
            <wp:positionV relativeFrom="paragraph">
              <wp:posOffset>-274320</wp:posOffset>
            </wp:positionV>
            <wp:extent cx="1123950" cy="108585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0" locked="0" layoutInCell="1" relativeHeight="981075">
            <wp:simplePos x="0" y="0"/>
            <wp:positionH relativeFrom="column">
              <wp:posOffset>1188720</wp:posOffset>
            </wp:positionH>
            <wp:positionV relativeFrom="paragraph">
              <wp:posOffset>-420624</wp:posOffset>
            </wp:positionV>
            <wp:extent cx="1600200" cy="9810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Директор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       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8A8A8A"/>
          <w:sz w:val="20"/>
          <w:szCs w:val="20"/>
        </w:rPr>
        <w:t xml:space="preserve">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0"/>
          <w:szCs w:val="20"/>
        </w:rPr>
        <w:t xml:space="preserve">          Иманкулов И.Т.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6b22c2d5c38170c8dec837b00537b1db805246.png"/><Relationship Id="rId8" Type="http://schemas.openxmlformats.org/officeDocument/2006/relationships/image" Target="media/732793bb03bc6d5e6ee73e0e9eed2909af2dc8af.jpg"/><Relationship Id="rId9" Type="http://schemas.openxmlformats.org/officeDocument/2006/relationships/image" Target="media/870c52dfece867857053911abe290334716fc5bd.png"/><Relationship Id="rId10" Type="http://schemas.openxmlformats.org/officeDocument/2006/relationships/image" Target="media/1d60af85564d71d7148cfdfedf18e136a47f3d4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концепция и эскизный проект</dc:title>
  <dc:creator>MOST Architects</dc:creator>
  <cp:lastModifiedBy>Un-named</cp:lastModifiedBy>
  <cp:revision>1</cp:revision>
  <dcterms:created xsi:type="dcterms:W3CDTF">2026-08-31T10:31:03.132Z</dcterms:created>
  <dcterms:modified xsi:type="dcterms:W3CDTF">2026-08-31T10:31:03.132Z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