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4 276 501,72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17 106 006,90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21 382 508,62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42 765 017,24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6 842 402,76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расчётной площади: 2000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11 ракурсов (экстерьер, интерьеры общественных зон и номера)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2e26dbd5c44e3c3821663211b2dcf4a9fcb33d3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2026-08-29T08:26:01.959Z</dcterms:created>
  <dcterms:modified xsi:type="dcterms:W3CDTF">2026-08-29T08:26:01.960Z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