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drawing>
          <wp:inline distT="0" distB="0" distL="0" distR="0">
            <wp:extent cx="438150" cy="485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" cy="48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cs="Arial" w:eastAsia="Arial" w:hAnsi="Arial"/>
          <w:b/>
          <w:bCs/>
          <w:i w:val="false"/>
          <w:iCs w:val="false"/>
          <w:color w:val="111111"/>
          <w:spacing w:val="8"/>
          <w:sz w:val="17"/>
          <w:szCs w:val="17"/>
        </w:rPr>
        <w:t xml:space="preserve">    ТОО «MOST Architects»</w:t>
      </w:r>
    </w:p>
    <w:p>
      <w:pPr>
        <w:pBdr>
          <w:bottom w:val="single" w:color="111111" w:sz="8" w:space="8"/>
        </w:pBdr>
        <w:spacing w:after="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8A8A8A"/>
          <w:sz w:val="16"/>
          <w:szCs w:val="16"/>
        </w:rPr>
        <w:t xml:space="preserve">г. Алматы, ул. Утеген батыра 11в к6/1   ·   +7 771 733 77 00   ·   most-a.com</w:t>
      </w:r>
    </w:p>
    <w:p>
      <w:pPr>
        <w:spacing w:after="360"/>
      </w:pPr>
    </w:p>
    <w:p>
      <w:pPr>
        <w:spacing w:after="80" w:before="0"/>
      </w:pPr>
      <w:r>
        <w:rPr>
          <w:rFonts w:ascii="Arial" w:cs="Arial" w:eastAsia="Arial" w:hAnsi="Arial"/>
          <w:b/>
          <w:bCs/>
          <w:i w:val="false"/>
          <w:iCs w:val="false"/>
          <w:color w:val="111111"/>
          <w:spacing w:val="8"/>
          <w:sz w:val="26"/>
          <w:szCs w:val="26"/>
        </w:rPr>
        <w:t xml:space="preserve">КОММЕРЧЕСКОЕ ПРЕДЛОЖЕНИЕ</w:t>
      </w:r>
    </w:p>
    <w:p>
      <w:pPr>
        <w:spacing w:after="320" w:before="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1"/>
          <w:szCs w:val="21"/>
        </w:rPr>
        <w:t xml:space="preserve">на разработку форэскиза, концепции и эскизного проекта гостиничного комплекса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9"/>
      </w:tblGrid>
      <w:tr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A8A8A"/>
                <w:sz w:val="18"/>
                <w:szCs w:val="18"/>
              </w:rPr>
              <w:t xml:space="preserve">Объект</w:t>
            </w:r>
          </w:p>
        </w:tc>
        <w:tc>
          <w:tcPr>
            <w:tcW w:type="dxa" w:w="663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Гостиничный комплекс категории 4 звезды</w:t>
            </w:r>
          </w:p>
        </w:tc>
      </w:tr>
      <w:tr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A8A8A"/>
                <w:sz w:val="18"/>
                <w:szCs w:val="18"/>
              </w:rPr>
              <w:t xml:space="preserve">Адрес</w:t>
            </w:r>
          </w:p>
        </w:tc>
        <w:tc>
          <w:tcPr>
            <w:tcW w:type="dxa" w:w="663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г. Алматы, ул. Бухтарминская</w:t>
            </w:r>
          </w:p>
        </w:tc>
      </w:tr>
      <w:tr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A8A8A"/>
                <w:sz w:val="18"/>
                <w:szCs w:val="18"/>
              </w:rPr>
              <w:t xml:space="preserve">Земельный участок</w:t>
            </w:r>
          </w:p>
        </w:tc>
        <w:tc>
          <w:tcPr>
            <w:tcW w:type="dxa" w:w="663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1,4 га (14 000 м²)</w:t>
            </w:r>
          </w:p>
        </w:tc>
      </w:tr>
      <w:tr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A8A8A"/>
                <w:sz w:val="18"/>
                <w:szCs w:val="18"/>
              </w:rPr>
              <w:t xml:space="preserve">Стадия</w:t>
            </w:r>
          </w:p>
        </w:tc>
        <w:tc>
          <w:tcPr>
            <w:tcW w:type="dxa" w:w="663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Форэскиз, концепция и эскизный проект</w:t>
            </w:r>
          </w:p>
        </w:tc>
      </w:tr>
      <w:tr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111111" w:sz="8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A8A8A"/>
                <w:sz w:val="18"/>
                <w:szCs w:val="18"/>
              </w:rPr>
              <w:t xml:space="preserve">Дата предложения</w:t>
            </w:r>
          </w:p>
        </w:tc>
        <w:tc>
          <w:tcPr>
            <w:tcW w:type="dxa" w:w="6639"/>
            <w:tcBorders>
              <w:top w:val="none" w:color="FFFFFF" w:sz="0"/>
              <w:left w:val="none" w:color="FFFFFF" w:sz="0"/>
              <w:bottom w:val="single" w:color="111111" w:sz="8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август 2026 г.</w:t>
            </w:r>
          </w:p>
        </w:tc>
      </w:tr>
    </w:tbl>
    <w:p>
      <w:pPr>
        <w:pBdr>
          <w:bottom w:val="single" w:color="111111" w:sz="6" w:space="6"/>
        </w:pBdr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color w:val="FF4D23"/>
          <w:spacing w:val="6"/>
          <w:sz w:val="19"/>
          <w:szCs w:val="19"/>
        </w:rPr>
        <w:t xml:space="preserve">1. БАЗА РАСЧЁТА СТОИМОСТИ</w:t>
      </w:r>
    </w:p>
    <w:p>
      <w:pPr>
        <w:spacing w:after="80"/>
        <w:jc w:val="center"/>
      </w:pPr>
      <w:r>
        <w:drawing>
          <wp:inline distT="0" distB="0" distL="0" distR="0">
            <wp:extent cx="4476750" cy="3581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58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0" w:line="26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8A8A8A"/>
          <w:sz w:val="16"/>
          <w:szCs w:val="16"/>
        </w:rPr>
        <w:t xml:space="preserve">Посадка комплекса на участок. Площади в таблице приведены по проекту генерального плана.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39"/>
        <w:gridCol w:w="3200"/>
      </w:tblGrid>
      <w:tr>
        <w:tc>
          <w:tcPr>
            <w:tcW w:type="dxa" w:w="643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Площадь 1-го этажа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4 446,90 м²</w:t>
            </w:r>
          </w:p>
        </w:tc>
      </w:tr>
      <w:tr>
        <w:tc>
          <w:tcPr>
            <w:tcW w:type="dxa" w:w="643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Площадь номеров, нетто (этажи 2–5)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12 693,32 м²</w:t>
            </w:r>
          </w:p>
        </w:tc>
      </w:tr>
      <w:tr>
        <w:tc>
          <w:tcPr>
            <w:tcW w:type="dxa" w:w="643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Коридоры и узлы этажей 2–5 (расчётно, коэф. 0,70)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5 439,99 м²</w:t>
            </w:r>
          </w:p>
        </w:tc>
      </w:tr>
      <w:tr>
        <w:tc>
          <w:tcPr>
            <w:tcW w:type="dxa" w:w="643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Надземная часть, всего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22 580,21 м²</w:t>
            </w:r>
          </w:p>
        </w:tc>
      </w:tr>
      <w:tr>
        <w:tc>
          <w:tcPr>
            <w:tcW w:type="dxa" w:w="643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Подземный этаж 4 941,11 м² с понижающим коэффициентом 0,45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2 223,50 м²</w:t>
            </w:r>
          </w:p>
        </w:tc>
      </w:tr>
      <w:tr>
        <w:tc>
          <w:tcPr>
            <w:tcW w:type="dxa" w:w="6439"/>
            <w:tcBorders>
              <w:top w:val="none" w:color="FFFFFF" w:sz="0"/>
              <w:left w:val="none" w:color="FFFFFF" w:sz="0"/>
              <w:bottom w:val="single" w:color="111111" w:sz="8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Расчётная площадь для определения стоимости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111111" w:sz="8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24 803,71 м²</w:t>
            </w:r>
          </w:p>
        </w:tc>
      </w:tr>
    </w:tbl>
    <w:p>
      <w:pPr>
        <w:pBdr>
          <w:bottom w:val="single" w:color="111111" w:sz="6" w:space="6"/>
        </w:pBdr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color w:val="FF4D23"/>
          <w:spacing w:val="6"/>
          <w:sz w:val="19"/>
          <w:szCs w:val="19"/>
        </w:rPr>
        <w:t xml:space="preserve">2. СТОИМОСТЬ РАБОТ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39"/>
        <w:gridCol w:w="1600"/>
        <w:gridCol w:w="2800"/>
      </w:tblGrid>
      <w:tr>
        <w:tc>
          <w:tcPr>
            <w:tcW w:type="dxa" w:w="5239"/>
            <w:tcBorders>
              <w:top w:val="none" w:color="FFFFFF" w:sz="0"/>
              <w:left w:val="none" w:color="FFFFFF" w:sz="0"/>
              <w:bottom w:val="single" w:color="111111" w:sz="8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4D23"/>
                <w:spacing w:val="6"/>
                <w:sz w:val="16"/>
                <w:szCs w:val="16"/>
              </w:rPr>
              <w:t xml:space="preserve">Стадия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single" w:color="111111" w:sz="8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4D23"/>
                <w:spacing w:val="6"/>
                <w:sz w:val="16"/>
                <w:szCs w:val="16"/>
              </w:rPr>
              <w:t xml:space="preserve">Доля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111111" w:sz="8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4D23"/>
                <w:spacing w:val="6"/>
                <w:sz w:val="16"/>
                <w:szCs w:val="16"/>
              </w:rPr>
              <w:t xml:space="preserve">Сумма без НДС</w:t>
            </w:r>
          </w:p>
        </w:tc>
      </w:tr>
      <w:tr>
        <w:tc>
          <w:tcPr>
            <w:tcW w:type="dxa" w:w="523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Стадия 1. Форэскиз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10 %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4 276 501,72 ₸</w:t>
            </w:r>
          </w:p>
        </w:tc>
      </w:tr>
      <w:tr>
        <w:tc>
          <w:tcPr>
            <w:tcW w:type="dxa" w:w="523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Стадия 2. Концепция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40 %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17 106 006,90 ₸</w:t>
            </w:r>
          </w:p>
        </w:tc>
      </w:tr>
      <w:tr>
        <w:tc>
          <w:tcPr>
            <w:tcW w:type="dxa" w:w="523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Стадия 3. Эскизный проект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50 %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21 382 508,62 ₸</w:t>
            </w:r>
          </w:p>
        </w:tc>
      </w:tr>
      <w:tr>
        <w:tc>
          <w:tcPr>
            <w:tcW w:type="dxa" w:w="523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Итого без НДС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100 %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42 765 017,24 ₸</w:t>
            </w:r>
          </w:p>
        </w:tc>
      </w:tr>
      <w:tr>
        <w:tc>
          <w:tcPr>
            <w:tcW w:type="dxa" w:w="523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НДС 16 %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/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6 842 402,76 ₸</w:t>
            </w:r>
          </w:p>
        </w:tc>
      </w:tr>
      <w:tr>
        <w:tc>
          <w:tcPr>
            <w:tcW w:type="dxa" w:w="5239"/>
            <w:tcBorders>
              <w:top w:val="none" w:color="FFFFFF" w:sz="0"/>
              <w:left w:val="none" w:color="FFFFFF" w:sz="0"/>
              <w:bottom w:val="single" w:color="111111" w:sz="8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Итого к оплате с НДС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single" w:color="111111" w:sz="8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/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111111" w:sz="8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49 607 420,00 ₸</w:t>
            </w:r>
          </w:p>
        </w:tc>
      </w:tr>
    </w:tbl>
    <w:p>
      <w:pPr>
        <w:spacing w:after="140"/>
      </w:pPr>
    </w:p>
    <w:p>
      <w:pPr>
        <w:spacing w:after="100" w:before="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Стоимость работ с НДС за 1 м² расчётной площади: 2000 тенге.</w:t>
      </w:r>
    </w:p>
    <w:p>
      <w:pPr>
        <w:pBdr>
          <w:bottom w:val="single" w:color="111111" w:sz="6" w:space="6"/>
        </w:pBdr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color w:val="FF4D23"/>
          <w:spacing w:val="6"/>
          <w:sz w:val="19"/>
          <w:szCs w:val="19"/>
        </w:rPr>
        <w:t xml:space="preserve">3. СОСТАВ РАБОТ</w:t>
      </w:r>
    </w:p>
    <w:p>
      <w:pPr>
        <w:spacing w:after="120" w:before="0" w:line="260"/>
      </w:pPr>
      <w:r>
        <w:rPr>
          <w:rFonts w:ascii="Arial" w:cs="Arial" w:eastAsia="Arial" w:hAnsi="Arial"/>
          <w:b/>
          <w:bCs/>
          <w:i w:val="false"/>
          <w:iCs w:val="false"/>
          <w:color w:val="111111"/>
          <w:sz w:val="21"/>
          <w:szCs w:val="21"/>
        </w:rPr>
        <w:t xml:space="preserve">Стадия 1. Форэскиз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Градостроительный анализ участка и окружения, ограничения застройки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Посадка комплекса на участок, генеральный план, отступы от границ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Объёмно-пространственное решение, этажность, силуэт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Предварительные технико-экономические показатели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Архитектурное решение фасадов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Визуализации — 11 ракурсов (экстерьер, интерьеры общественных зон и номера)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Презентационные материалы для предварительного согласования</w:t>
      </w:r>
    </w:p>
    <w:p>
      <w:pPr>
        <w:spacing w:after="180"/>
      </w:pPr>
    </w:p>
    <w:p>
      <w:pPr>
        <w:spacing w:after="120" w:before="0" w:line="260"/>
      </w:pPr>
      <w:r>
        <w:rPr>
          <w:rFonts w:ascii="Arial" w:cs="Arial" w:eastAsia="Arial" w:hAnsi="Arial"/>
          <w:b/>
          <w:bCs/>
          <w:i w:val="false"/>
          <w:iCs w:val="false"/>
          <w:color w:val="111111"/>
          <w:sz w:val="21"/>
          <w:szCs w:val="21"/>
        </w:rPr>
        <w:t xml:space="preserve">Стадия 2. Концепция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Уточнение генерального плана по итогам предварительного согласования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Функциональное зонирование по этажам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Планировочное решение первого этажа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Фасады и характерные разрезы с высотными отметками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Ведомость отделочных материалов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Уточнённые технико-экономические показатели, коэффициенты застройки и использования территории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Баланс территории: озеленение, покрытия, проезды, площадки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Комплект презентационных материалов для градостроительного совета</w:t>
      </w:r>
    </w:p>
    <w:p>
      <w:pPr>
        <w:spacing w:after="180"/>
      </w:pPr>
    </w:p>
    <w:p>
      <w:pPr>
        <w:spacing w:after="120" w:before="0" w:line="260"/>
      </w:pPr>
      <w:r>
        <w:rPr>
          <w:rFonts w:ascii="Arial" w:cs="Arial" w:eastAsia="Arial" w:hAnsi="Arial"/>
          <w:b/>
          <w:bCs/>
          <w:i w:val="false"/>
          <w:iCs w:val="false"/>
          <w:color w:val="111111"/>
          <w:sz w:val="21"/>
          <w:szCs w:val="21"/>
        </w:rPr>
        <w:t xml:space="preserve">Стадия 3. Эскизный проект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Планировочные решения всех этажей, типы номеров, итоговая ёмкость номерного фонда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Планировка подземного этажа, расчёт машино-мест по действующему нормативу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Схема транспортного обслуживания, узлы въезда, пожарные проезды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Пояснительная записка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Комплект документации для получения архитектурно-планировочного задания</w:t>
      </w:r>
    </w:p>
    <w:p>
      <w:pPr>
        <w:pBdr>
          <w:bottom w:val="single" w:color="111111" w:sz="6" w:space="6"/>
        </w:pBdr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color w:val="FF4D23"/>
          <w:spacing w:val="6"/>
          <w:sz w:val="19"/>
          <w:szCs w:val="19"/>
        </w:rPr>
        <w:t xml:space="preserve">4. СРОКИ ВЫПОЛНЕНИЯ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39"/>
        <w:gridCol w:w="3200"/>
      </w:tblGrid>
      <w:tr>
        <w:tc>
          <w:tcPr>
            <w:tcW w:type="dxa" w:w="643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Стадия 1. Форэскиз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1 неделя</w:t>
            </w:r>
          </w:p>
        </w:tc>
      </w:tr>
      <w:tr>
        <w:tc>
          <w:tcPr>
            <w:tcW w:type="dxa" w:w="643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Стадия 2. Концепция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1 месяц</w:t>
            </w:r>
          </w:p>
        </w:tc>
      </w:tr>
      <w:tr>
        <w:tc>
          <w:tcPr>
            <w:tcW w:type="dxa" w:w="643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Стадия 3. Эскизный проект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2 месяца</w:t>
            </w:r>
          </w:p>
        </w:tc>
      </w:tr>
      <w:tr>
        <w:tc>
          <w:tcPr>
            <w:tcW w:type="dxa" w:w="6439"/>
            <w:tcBorders>
              <w:top w:val="none" w:color="FFFFFF" w:sz="0"/>
              <w:left w:val="none" w:color="FFFFFF" w:sz="0"/>
              <w:bottom w:val="single" w:color="111111" w:sz="8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Всего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111111" w:sz="8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13 недель</w:t>
            </w:r>
          </w:p>
        </w:tc>
      </w:tr>
    </w:tbl>
    <w:p>
      <w:pPr>
        <w:spacing w:after="140"/>
      </w:pPr>
    </w:p>
    <w:p>
      <w:pPr>
        <w:spacing w:after="100" w:before="0" w:line="260"/>
      </w:pPr>
      <w:r>
        <w:rPr>
          <w:rFonts w:ascii="Arial" w:cs="Arial" w:eastAsia="Arial" w:hAnsi="Arial"/>
          <w:b w:val="false"/>
          <w:bCs w:val="false"/>
          <w:i/>
          <w:iCs/>
          <w:color w:val="8A8A8A"/>
          <w:sz w:val="17"/>
          <w:szCs w:val="17"/>
        </w:rPr>
        <w:t xml:space="preserve">Отсчёт срока каждой стадии начинается с даты поступления аванса и передачи заказчиком исходных данных в полном объёме.</w:t>
      </w:r>
    </w:p>
    <w:p>
      <w:pPr>
        <w:pBdr>
          <w:bottom w:val="single" w:color="111111" w:sz="6" w:space="6"/>
        </w:pBdr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color w:val="FF4D23"/>
          <w:spacing w:val="6"/>
          <w:sz w:val="19"/>
          <w:szCs w:val="19"/>
        </w:rPr>
        <w:t xml:space="preserve">5. ПОРЯДОК ОПЛАТЫ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Стадия 1: аванс 50 % при подписании договора, 50 % по передаче материалов стадии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Стадия 2: аванс 50 % при старте стадии, 50 % по передаче материалов стадии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Стадия 3: аванс 50 % при старте стадии, 50 % по передаче материалов стадии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Рабочие файлы и исходники передаются заказчику после полной оплаты соответствующей стадии</w:t>
      </w:r>
    </w:p>
    <w:p>
      <w:pPr>
        <w:pBdr>
          <w:bottom w:val="single" w:color="111111" w:sz="6" w:space="6"/>
        </w:pBdr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color w:val="FF4D23"/>
          <w:spacing w:val="6"/>
          <w:sz w:val="19"/>
          <w:szCs w:val="19"/>
        </w:rPr>
        <w:t xml:space="preserve">6. НЕ ВХОДИТ В НАСТОЯЩЕЕ ПРЕДЛОЖЕНИЕ</w:t>
      </w:r>
    </w:p>
    <w:p>
      <w:pPr>
        <w:spacing w:after="140" w:before="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8A8A8A"/>
          <w:sz w:val="18"/>
          <w:szCs w:val="18"/>
        </w:rPr>
        <w:t xml:space="preserve">Перечисленные работы могут быть выполнены по отдельному договору.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Рабочая документация и проектно-сметная документация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Смежные разделы: конструктивные решения, отопление и вентиляция, водоснабжение и канализация, электроснабжение, слаботочные системы, проект организации строительства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Проект санитарно-защитной зоны от смежной автозаправочной станции и расчёт рассеивания. Необходимость определяется после подтверждения типа станции и установленного размера её СЗЗ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Инженерно-геологические и геодезические изыскания, топографическая съёмка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Авторский надзор за строительством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Ведение согласований в государственных органах. Бюро участвует в защите проектных решений, подача и сопровождение — на стороне заказчика</w:t>
      </w:r>
    </w:p>
    <w:p>
      <w:pPr>
        <w:pBdr>
          <w:bottom w:val="single" w:color="111111" w:sz="6" w:space="6"/>
        </w:pBdr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color w:val="FF4D23"/>
          <w:spacing w:val="6"/>
          <w:sz w:val="19"/>
          <w:szCs w:val="19"/>
        </w:rPr>
        <w:t xml:space="preserve">7. УСЛОВИЯ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Исходные данные, предоставляемые заказчиком: топографическая съёмка, правоустанавливающие документы на участок, архитектурно-планировочное задание, технические условия на подключение к инженерным сетям, задание на проектирование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Изменение состава работ, площади объекта или градостроительных условий влечёт пересмотр стоимости и сроков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Настоящее предложение действительно в течение 10 рабочих дней с даты его направления</w:t>
      </w:r>
    </w:p>
    <w:p>
      <w:pPr>
        <w:spacing w:after="560"/>
      </w:pPr>
    </w:p>
    <w:p>
      <w:pPr>
        <w:spacing w:after="60" w:before="0" w:line="260"/>
      </w:pPr>
      <w:r>
        <w:rPr>
          <w:rFonts w:ascii="Arial" w:cs="Arial" w:eastAsia="Arial" w:hAnsi="Arial"/>
          <w:b/>
          <w:bCs/>
          <w:i w:val="false"/>
          <w:iCs w:val="false"/>
          <w:color w:val="111111"/>
          <w:sz w:val="21"/>
          <w:szCs w:val="21"/>
        </w:rPr>
        <w:t xml:space="preserve">ТОО «MOST Architects»</w:t>
      </w:r>
    </w:p>
    <w:p>
      <w:pPr>
        <w:spacing w:after="420" w:before="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17"/>
          <w:szCs w:val="17"/>
        </w:rPr>
        <w:t xml:space="preserve">г. Алматы, ул. Утеген батыра 11в к6/1</w:t>
      </w:r>
    </w:p>
    <w:p>
      <w:pPr>
        <w:spacing w:after="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0"/>
          <w:szCs w:val="20"/>
        </w:rPr>
        <w:t xml:space="preserve">Директор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8A8A8A"/>
          <w:sz w:val="17"/>
          <w:szCs w:val="17"/>
        </w:rPr>
        <w:t xml:space="preserve">          М.П.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8A8A8A"/>
          <w:sz w:val="20"/>
          <w:szCs w:val="20"/>
        </w:rPr>
        <w:t xml:space="preserve">_________________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0"/>
          <w:szCs w:val="20"/>
        </w:rPr>
        <w:t xml:space="preserve">          Иманкулов И.Т.</w:t>
      </w:r>
    </w:p>
    <w:sectPr>
      <w:pgSz w:w="11906" w:h="16838" w:orient="portrait"/>
      <w:pgMar w:top="1133" w:right="1133" w:bottom="1133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333333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06b22c2d5c38170c8dec837b00537b1db805246.png"/><Relationship Id="rId8" Type="http://schemas.openxmlformats.org/officeDocument/2006/relationships/image" Target="media/72e26dbd5c44e3c3821663211b2dcf4a9fcb33d3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Коммерческое предложение — концепция и эскизный проект</dc:title>
  <dc:creator>MOST Architects</dc:creator>
  <cp:lastModifiedBy>Un-named</cp:lastModifiedBy>
  <cp:revision>1</cp:revision>
  <dcterms:created xsi:type="dcterms:W3CDTF">2026-08-29T08:20:19.135Z</dcterms:created>
  <dcterms:modified xsi:type="dcterms:W3CDTF">2026-08-29T08:20:19.135Z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