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spacing w:after="140"/>
      </w:pPr>
    </w:p>
    <w:p>
      <w:pPr>
        <w:spacing w:after="100" w:before="0" w:line="23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Позиции с пометкой «расчётно» получены расчётом бюро: в исходных технико-экономических показателях генерального плана они не выделены. Стоимость работ по настоящему предложению подлежит пересчёту по фактической площади объекта, утверждённой на стадии эскизного проекта, с сохранением ставки за квадратный метр. Площадь подземного этажа учитывается в расчёте с понижающим коэффициентом 0,45.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400"/>
        <w:gridCol w:w="1500"/>
        <w:gridCol w:w="15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₸ / м²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4 960 742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9 921 484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70 %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1400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34 725 194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предложению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2000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Стоимость указана с учётом НДС, расчёт от площади 24 803,71 м². В том числе: сумма без НДС — 42 765 017,24 ₸, НДС 16 % — 6 842 402,76 ₸.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фасадов, 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— 11 ракурсов (экстерьер, интерьеры общественных зон и номера)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рассмотрения градостроительным советом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320"/>
      </w:pPr>
    </w:p>
    <w:tbl>
      <w:tblPr>
        <w:tblW w:type="dxa" w:w="9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9"/>
        <w:gridCol w:w="4619"/>
      </w:tblGrid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ИСПОЛНИТЕЛЬ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ЗАКАЗЧИК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ТОО «MOST Architects»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17"/>
                <w:szCs w:val="17"/>
              </w:rPr>
              <w:t xml:space="preserve">г. Алматы, ул. Утеген батыра 11в к6/1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Директор  ______________  Иманкулов И.Т.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20"/>
                <w:szCs w:val="20"/>
              </w:rPr>
              <w:t xml:space="preserve">______________________________</w:t>
            </w:r>
          </w:p>
        </w:tc>
      </w:tr>
      <w:tr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М.П.</w:t>
            </w:r>
          </w:p>
        </w:tc>
        <w:tc>
          <w:tcPr>
            <w:tcW w:type="dxa" w:w="461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5"/>
                <w:szCs w:val="15"/>
              </w:rPr>
              <w:t xml:space="preserve">подпись, дата</w:t>
            </w:r>
          </w:p>
        </w:tc>
      </w:tr>
    </w:tbl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2026-08-29T08:08:42.279Z</dcterms:created>
  <dcterms:modified xsi:type="dcterms:W3CDTF">2026-08-29T08:08:42.279Z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