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A2C36E" w14:textId="77777777" w:rsidR="00985F58" w:rsidRDefault="00B93DF7">
      <w:bookmarkStart w:id="0" w:name="_GoBack"/>
      <w:bookmarkEnd w:id="0"/>
      <w:r>
        <w:t>1. See GitHub</w:t>
      </w:r>
    </w:p>
    <w:p w14:paraId="2F305616" w14:textId="77777777" w:rsidR="00985F58" w:rsidRDefault="00985F58"/>
    <w:p w14:paraId="6C635F09" w14:textId="77777777" w:rsidR="00985F58" w:rsidRDefault="00B93DF7">
      <w:r>
        <w:t xml:space="preserve">2. </w:t>
      </w:r>
      <w:r>
        <w:rPr>
          <w:b/>
          <w:u w:val="single"/>
        </w:rPr>
        <w:t xml:space="preserve">High-throughput binding assays: </w:t>
      </w:r>
      <w:r>
        <w:rPr>
          <w:b/>
        </w:rPr>
        <w:t>Briefly describe (a) the in vitro experiments SELEX-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and PBM, and (b) the in vivo experiment of </w:t>
      </w:r>
      <w:proofErr w:type="spellStart"/>
      <w:r>
        <w:rPr>
          <w:b/>
        </w:rPr>
        <w:t>ChIP</w:t>
      </w:r>
      <w:proofErr w:type="spellEnd"/>
      <w:r>
        <w:rPr>
          <w:b/>
        </w:rPr>
        <w:t>-seq. (c) Compare and discuss the advantage and disadvantage of these methods.</w:t>
      </w:r>
    </w:p>
    <w:p w14:paraId="3B41BC54" w14:textId="77777777" w:rsidR="00985F58" w:rsidRDefault="00B93DF7">
      <w:r>
        <w:rPr>
          <w:b/>
        </w:rPr>
        <w:tab/>
      </w:r>
      <w:r>
        <w:t xml:space="preserve">Answer: (a) </w:t>
      </w:r>
      <w:r>
        <w:rPr>
          <w:b/>
          <w:u w:val="single"/>
        </w:rPr>
        <w:t>SELEX-</w:t>
      </w:r>
      <w:proofErr w:type="spellStart"/>
      <w:r>
        <w:rPr>
          <w:b/>
          <w:u w:val="single"/>
        </w:rPr>
        <w:t>seq</w:t>
      </w:r>
      <w:proofErr w:type="spellEnd"/>
      <w:r>
        <w:t xml:space="preserve"> measures the binding of a single protein to millions of oligonucleotides over several enrichment cycles. When the set of bound oligonucleotides is retrieved, the protein is detached and amplified to make a new pool and a sample from that pool is then sequ</w:t>
      </w:r>
      <w:r>
        <w:t xml:space="preserve">enced. The output is several sets of sequences in the end, each of which correspond to a different cycle. The </w:t>
      </w:r>
      <w:r>
        <w:rPr>
          <w:b/>
        </w:rPr>
        <w:t xml:space="preserve">advantage </w:t>
      </w:r>
      <w:r>
        <w:t xml:space="preserve">includes higher accuracy in predicting </w:t>
      </w:r>
      <w:r>
        <w:rPr>
          <w:i/>
        </w:rPr>
        <w:t xml:space="preserve">in vivo </w:t>
      </w:r>
      <w:r>
        <w:t xml:space="preserve">binding, owing to their ability to measure binding </w:t>
      </w:r>
      <w:proofErr w:type="gramStart"/>
      <w:r>
        <w:t>to</w:t>
      </w:r>
      <w:proofErr w:type="gramEnd"/>
      <w:r>
        <w:t xml:space="preserve"> longer k-</w:t>
      </w:r>
      <w:proofErr w:type="spellStart"/>
      <w:r>
        <w:t>mers</w:t>
      </w:r>
      <w:proofErr w:type="spellEnd"/>
      <w:r>
        <w:t xml:space="preserve">. and the </w:t>
      </w:r>
      <w:r>
        <w:rPr>
          <w:b/>
        </w:rPr>
        <w:t>disadvantage</w:t>
      </w:r>
      <w:r>
        <w:rPr>
          <w:b/>
        </w:rPr>
        <w:t xml:space="preserve"> </w:t>
      </w:r>
      <w:r>
        <w:t>includes results of advanced cycles that may suffer from over-specification, where high affinity k-</w:t>
      </w:r>
      <w:proofErr w:type="spellStart"/>
      <w:r>
        <w:t>mers</w:t>
      </w:r>
      <w:proofErr w:type="spellEnd"/>
      <w:r>
        <w:t xml:space="preserve"> are represented at the expense of low-affinity k-</w:t>
      </w:r>
      <w:proofErr w:type="spellStart"/>
      <w:r>
        <w:t>mers</w:t>
      </w:r>
      <w:proofErr w:type="spellEnd"/>
      <w:r>
        <w:t xml:space="preserve">. </w:t>
      </w:r>
      <w:r>
        <w:rPr>
          <w:b/>
          <w:u w:val="single"/>
        </w:rPr>
        <w:t>PBM</w:t>
      </w:r>
      <w:r>
        <w:t xml:space="preserve">, or protein binding microarrays, are designed to measure protein-DNA binding intensity in a </w:t>
      </w:r>
      <w:r>
        <w:t xml:space="preserve">high-throughput and unbiased manner. A large array contains dsDNA probes with unique sequences designed to collectively cover all DNA 10-mers. The final output is the set of probe sequences and the binding intensity of a protein to each one. The </w:t>
      </w:r>
      <w:r>
        <w:rPr>
          <w:b/>
        </w:rPr>
        <w:t xml:space="preserve">advantage </w:t>
      </w:r>
      <w:r>
        <w:t>for this method is that it provides accurate measurements for studying TF specificity. It allows better ranking of k-</w:t>
      </w:r>
      <w:proofErr w:type="spellStart"/>
      <w:r>
        <w:t>mers</w:t>
      </w:r>
      <w:proofErr w:type="spellEnd"/>
      <w:r>
        <w:t xml:space="preserve"> according to their binding intensities, compared with HT-SELEX data. (b) </w:t>
      </w:r>
      <w:r>
        <w:rPr>
          <w:b/>
          <w:u w:val="single"/>
        </w:rPr>
        <w:t>CHIP-</w:t>
      </w:r>
      <w:proofErr w:type="spellStart"/>
      <w:r>
        <w:rPr>
          <w:b/>
          <w:u w:val="single"/>
        </w:rPr>
        <w:t>seq</w:t>
      </w:r>
      <w:proofErr w:type="spellEnd"/>
      <w:r>
        <w:t xml:space="preserve"> or chromatin immunoprecipitation combines the strate</w:t>
      </w:r>
      <w:r>
        <w:t xml:space="preserve">gy of </w:t>
      </w:r>
      <w:proofErr w:type="spellStart"/>
      <w:r>
        <w:t>ChIP</w:t>
      </w:r>
      <w:proofErr w:type="spellEnd"/>
      <w:r>
        <w:t xml:space="preserve"> and high-throughput sequencing technologies and allows the detection of BSs throughout the entire genome. The </w:t>
      </w:r>
      <w:r>
        <w:rPr>
          <w:b/>
        </w:rPr>
        <w:t xml:space="preserve">disadvantage </w:t>
      </w:r>
      <w:r>
        <w:t>is that in vitro models are cheaper and easier, and therefore more appealing. CHIP-</w:t>
      </w:r>
      <w:proofErr w:type="spellStart"/>
      <w:r>
        <w:t>seq</w:t>
      </w:r>
      <w:proofErr w:type="spellEnd"/>
      <w:r>
        <w:t xml:space="preserve"> requires a large number of probes. </w:t>
      </w:r>
      <w:r>
        <w:t xml:space="preserve">However, </w:t>
      </w:r>
      <w:r>
        <w:rPr>
          <w:i/>
        </w:rPr>
        <w:t xml:space="preserve">in vivo </w:t>
      </w:r>
      <w:r>
        <w:t xml:space="preserve">is useful when combined with in vitro experiments. The </w:t>
      </w:r>
      <w:r>
        <w:rPr>
          <w:b/>
        </w:rPr>
        <w:t>challenge</w:t>
      </w:r>
      <w:r>
        <w:t xml:space="preserve"> is that BSs are short and degenerate, and DNA probes are longer than typical BSs and thus may contain many putative sites, so it is difficult to distinguish between specific </w:t>
      </w:r>
      <w:r>
        <w:t xml:space="preserve">and nonspecific background binding (Orenstein, Shamir 2016). The </w:t>
      </w:r>
      <w:r>
        <w:rPr>
          <w:b/>
        </w:rPr>
        <w:t>advantage</w:t>
      </w:r>
      <w:r>
        <w:t xml:space="preserve"> of CHIP-</w:t>
      </w:r>
      <w:proofErr w:type="spellStart"/>
      <w:r>
        <w:t>Seq</w:t>
      </w:r>
      <w:proofErr w:type="spellEnd"/>
      <w:r>
        <w:t xml:space="preserve"> is that it does not suffer from noise due to the hybridization step in </w:t>
      </w:r>
      <w:proofErr w:type="spellStart"/>
      <w:r>
        <w:t>ChIP</w:t>
      </w:r>
      <w:proofErr w:type="spellEnd"/>
      <w:r>
        <w:t>-chip. However, intensity signals measured on arrays may not be linear in its entire range and</w:t>
      </w:r>
      <w:r>
        <w:t xml:space="preserve"> its dynamic range is limited below and above saturation points. Lastly, the significant </w:t>
      </w:r>
      <w:r>
        <w:rPr>
          <w:b/>
        </w:rPr>
        <w:t>advantage</w:t>
      </w:r>
      <w:r>
        <w:t xml:space="preserve"> is that the genome covering is not limited by the probe sequences fixed on the array; this is particularly important for analysis of repetitive regions of th</w:t>
      </w:r>
      <w:r>
        <w:t xml:space="preserve">e gnome, which are typically masked out on arrays. </w:t>
      </w:r>
    </w:p>
    <w:p w14:paraId="63E2B742" w14:textId="77777777" w:rsidR="00985F58" w:rsidRDefault="00985F58"/>
    <w:p w14:paraId="0B9D4987" w14:textId="77777777" w:rsidR="00985F58" w:rsidRDefault="00B93DF7">
      <w:r>
        <w:t>3. See R code</w:t>
      </w:r>
    </w:p>
    <w:p w14:paraId="2C1A7EC2" w14:textId="77777777" w:rsidR="00985F58" w:rsidRDefault="00985F58"/>
    <w:p w14:paraId="0F7DB398" w14:textId="77777777" w:rsidR="00985F58" w:rsidRDefault="00B93DF7">
      <w:r>
        <w:t>4. See R code</w:t>
      </w:r>
    </w:p>
    <w:p w14:paraId="645F7CE6" w14:textId="77777777" w:rsidR="00985F58" w:rsidRDefault="00985F58"/>
    <w:p w14:paraId="3E47639D" w14:textId="77777777" w:rsidR="00985F58" w:rsidRDefault="00B93DF7">
      <w:r>
        <w:t xml:space="preserve">5. </w:t>
      </w:r>
      <w:r>
        <w:rPr>
          <w:b/>
          <w:u w:val="single"/>
        </w:rPr>
        <w:t>High throughput in vitro data analysis:</w:t>
      </w:r>
      <w:r>
        <w:t xml:space="preserve"> </w:t>
      </w:r>
    </w:p>
    <w:p w14:paraId="53C552A1" w14:textId="77777777" w:rsidR="00985F58" w:rsidRDefault="00B93DF7">
      <w:pPr>
        <w:ind w:firstLine="720"/>
      </w:pPr>
      <w:r>
        <w:t>Answer: For this question I substituted “1-mer” for “sequence.” Sequence is on the x-axis and sequence-and-shape is on the y-axis</w:t>
      </w:r>
      <w:r>
        <w:t xml:space="preserve">. The 3 points representing R^2 discussed for </w:t>
      </w:r>
      <w:r>
        <w:rPr>
          <w:i/>
        </w:rPr>
        <w:t xml:space="preserve">Mad, Max, </w:t>
      </w:r>
      <w:r>
        <w:t xml:space="preserve">and </w:t>
      </w:r>
      <w:proofErr w:type="spellStart"/>
      <w:r>
        <w:rPr>
          <w:i/>
        </w:rPr>
        <w:t>Myc</w:t>
      </w:r>
      <w:proofErr w:type="spellEnd"/>
      <w:r>
        <w:rPr>
          <w:i/>
        </w:rPr>
        <w:t xml:space="preserve"> </w:t>
      </w:r>
      <w:r>
        <w:t>are (0.775,0.863), (0.785,0.865), and (0.778,0.855). In calculating the comparison between the two different models, the R^2 of the sequence-and-shape model is consistently higher than that of</w:t>
      </w:r>
      <w:r>
        <w:t xml:space="preserve"> the sequence model, leading me to believe that the sequence-and-shape model is a better model to use in terms of accuracy and specificity. This makes </w:t>
      </w:r>
      <w:r>
        <w:lastRenderedPageBreak/>
        <w:t xml:space="preserve">sense because additional information about shape should lead to a model with more information and better </w:t>
      </w:r>
      <w:r>
        <w:t>predictive methods.</w:t>
      </w:r>
    </w:p>
    <w:p w14:paraId="53FFC719" w14:textId="77777777" w:rsidR="00985F58" w:rsidRDefault="00B93DF7">
      <w:r>
        <w:rPr>
          <w:noProof/>
        </w:rPr>
        <w:drawing>
          <wp:inline distT="114300" distB="114300" distL="114300" distR="114300" wp14:anchorId="2129228F" wp14:editId="421F8F5B">
            <wp:extent cx="2473067" cy="303371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067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5F768" w14:textId="77777777" w:rsidR="00985F58" w:rsidRDefault="00B93DF7">
      <w:r>
        <w:t>6. See R code</w:t>
      </w:r>
    </w:p>
    <w:p w14:paraId="2C7104C8" w14:textId="77777777" w:rsidR="00985F58" w:rsidRDefault="00985F58"/>
    <w:p w14:paraId="06D148BF" w14:textId="77777777" w:rsidR="00985F58" w:rsidRDefault="00B93DF7">
      <w:r>
        <w:rPr>
          <w:b/>
        </w:rPr>
        <w:t xml:space="preserve">7. </w:t>
      </w:r>
      <w:r>
        <w:rPr>
          <w:b/>
          <w:u w:val="single"/>
        </w:rPr>
        <w:t>High-throughput in vivo data analysis: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plotShape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functions of </w:t>
      </w:r>
      <w:proofErr w:type="spellStart"/>
      <w:r>
        <w:rPr>
          <w:b/>
        </w:rPr>
        <w:t>DNAshapeR</w:t>
      </w:r>
      <w:proofErr w:type="spellEnd"/>
      <w:r>
        <w:rPr>
          <w:b/>
        </w:rPr>
        <w:t xml:space="preserve"> to generate ensemble plots for the DNA shape parameters of minor groove width, </w:t>
      </w:r>
      <w:proofErr w:type="spellStart"/>
      <w:r>
        <w:rPr>
          <w:b/>
        </w:rPr>
        <w:t>propellor</w:t>
      </w:r>
      <w:proofErr w:type="spellEnd"/>
      <w:r>
        <w:rPr>
          <w:b/>
        </w:rPr>
        <w:t xml:space="preserve"> twist, roll, and helix twist based on the sequences d</w:t>
      </w:r>
      <w:r>
        <w:rPr>
          <w:b/>
        </w:rPr>
        <w:t>ownloaded for question 6.</w:t>
      </w:r>
    </w:p>
    <w:p w14:paraId="25E083EE" w14:textId="77777777" w:rsidR="00985F58" w:rsidRDefault="00B93DF7">
      <w:r>
        <w:rPr>
          <w:noProof/>
        </w:rPr>
        <w:drawing>
          <wp:inline distT="114300" distB="114300" distL="114300" distR="114300" wp14:anchorId="4FCB73DE" wp14:editId="4B28F55F">
            <wp:extent cx="1900795" cy="2986088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795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2124F" w14:textId="77777777" w:rsidR="00985F58" w:rsidRDefault="00B93DF7">
      <w:proofErr w:type="spellStart"/>
      <w:r>
        <w:rPr>
          <w:b/>
          <w:u w:val="single"/>
        </w:rPr>
        <w:t>HelT</w:t>
      </w:r>
      <w:proofErr w:type="spellEnd"/>
      <w:r>
        <w:rPr>
          <w:b/>
          <w:u w:val="single"/>
        </w:rPr>
        <w:t>: helix twist</w:t>
      </w:r>
      <w:r>
        <w:rPr>
          <w:b/>
        </w:rPr>
        <w:t xml:space="preserve"> </w:t>
      </w:r>
    </w:p>
    <w:p w14:paraId="68F53A29" w14:textId="77777777" w:rsidR="00985F58" w:rsidRDefault="00B93DF7">
      <w:r>
        <w:t>For these graphs, the horizontal line indicates sequence. The center of the helix twist evaluation sees an inversion of the center. The center of the minor groove twist shows a mean value around 5.10, where th</w:t>
      </w:r>
      <w:r>
        <w:t xml:space="preserve">e </w:t>
      </w:r>
      <w:proofErr w:type="spellStart"/>
      <w:r>
        <w:t>propellor</w:t>
      </w:r>
      <w:proofErr w:type="spellEnd"/>
      <w:r>
        <w:t xml:space="preserve"> twist shows a -5.5 maximum, with a higher intensity than other </w:t>
      </w:r>
      <w:r>
        <w:lastRenderedPageBreak/>
        <w:t xml:space="preserve">graphs owing to the flexibility of the </w:t>
      </w:r>
      <w:proofErr w:type="spellStart"/>
      <w:r>
        <w:t>propellor</w:t>
      </w:r>
      <w:proofErr w:type="spellEnd"/>
      <w:r>
        <w:t xml:space="preserve"> twist sequence. The Roll graph shows a lower intensity and center of about -0.7. </w:t>
      </w:r>
    </w:p>
    <w:p w14:paraId="22C53274" w14:textId="77777777" w:rsidR="00985F58" w:rsidRDefault="00B93DF7">
      <w:r>
        <w:rPr>
          <w:noProof/>
        </w:rPr>
        <w:drawing>
          <wp:inline distT="114300" distB="114300" distL="114300" distR="114300" wp14:anchorId="7D5A22A9" wp14:editId="05F0B5D8">
            <wp:extent cx="1912921" cy="300513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921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D53C7" w14:textId="77777777" w:rsidR="00985F58" w:rsidRDefault="00B93DF7">
      <w:r>
        <w:rPr>
          <w:b/>
          <w:u w:val="single"/>
        </w:rPr>
        <w:t>MGW: minor groove twist</w:t>
      </w:r>
    </w:p>
    <w:p w14:paraId="1FF39F49" w14:textId="77777777" w:rsidR="00985F58" w:rsidRDefault="00B93DF7">
      <w:r>
        <w:rPr>
          <w:noProof/>
        </w:rPr>
        <w:drawing>
          <wp:inline distT="114300" distB="114300" distL="114300" distR="114300" wp14:anchorId="7E7CCA19" wp14:editId="14622ED9">
            <wp:extent cx="2064500" cy="3243263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500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26A85" w14:textId="77777777" w:rsidR="00985F58" w:rsidRDefault="00B93DF7">
      <w:proofErr w:type="spellStart"/>
      <w:r>
        <w:rPr>
          <w:b/>
          <w:u w:val="single"/>
        </w:rPr>
        <w:t>ProT</w:t>
      </w:r>
      <w:proofErr w:type="spellEnd"/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propellor</w:t>
      </w:r>
      <w:proofErr w:type="spellEnd"/>
      <w:r>
        <w:rPr>
          <w:b/>
          <w:u w:val="single"/>
        </w:rPr>
        <w:t xml:space="preserve"> twist</w:t>
      </w:r>
    </w:p>
    <w:p w14:paraId="092D473D" w14:textId="77777777" w:rsidR="00985F58" w:rsidRDefault="00B93DF7">
      <w:r>
        <w:rPr>
          <w:noProof/>
        </w:rPr>
        <w:lastRenderedPageBreak/>
        <w:drawing>
          <wp:inline distT="114300" distB="114300" distL="114300" distR="114300" wp14:anchorId="15AC07C9" wp14:editId="03B37267">
            <wp:extent cx="2034184" cy="3195638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184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29740" w14:textId="77777777" w:rsidR="00985F58" w:rsidRDefault="00B93DF7">
      <w:r>
        <w:rPr>
          <w:b/>
          <w:u w:val="single"/>
        </w:rPr>
        <w:t>Roll</w:t>
      </w:r>
    </w:p>
    <w:p w14:paraId="49412C8B" w14:textId="77777777" w:rsidR="00985F58" w:rsidRDefault="00985F58"/>
    <w:p w14:paraId="6456B679" w14:textId="77777777" w:rsidR="00985F58" w:rsidRDefault="00B93DF7">
      <w:r>
        <w:t xml:space="preserve">8. </w:t>
      </w:r>
      <w:r>
        <w:rPr>
          <w:u w:val="single"/>
        </w:rPr>
        <w:t>Build prediction models for in vitro data:</w:t>
      </w:r>
      <w:r>
        <w:t xml:space="preserve"> Build logistic regression models for “1-mer” and “1 </w:t>
      </w:r>
      <w:proofErr w:type="spellStart"/>
      <w:r>
        <w:t>mer+shape</w:t>
      </w:r>
      <w:proofErr w:type="spellEnd"/>
      <w:r>
        <w:t>” features, draw a plot of the ROC curves, and calculate the AUC score for each curve. Briefly discuss what you have learned from the results</w:t>
      </w:r>
      <w:r>
        <w:t xml:space="preserve">. </w:t>
      </w:r>
    </w:p>
    <w:p w14:paraId="6DA321F6" w14:textId="77777777" w:rsidR="00985F58" w:rsidRDefault="00B93DF7">
      <w:r>
        <w:t xml:space="preserve">The AUC score for “1-mer” is 0.8405 and for “1 </w:t>
      </w:r>
      <w:proofErr w:type="spellStart"/>
      <w:r>
        <w:t>mer+shape</w:t>
      </w:r>
      <w:proofErr w:type="spellEnd"/>
      <w:r>
        <w:t xml:space="preserve">” it is 0.8411. From a range of 0.5 to 1, the AUC scores 0.8405 and 0.8411 are both closer to 1 than they are to 0.5. This indicates that the results show a more “true positive rate” than a “false </w:t>
      </w:r>
      <w:r>
        <w:t xml:space="preserve">positive rate” </w:t>
      </w:r>
    </w:p>
    <w:p w14:paraId="265ACAB0" w14:textId="77777777" w:rsidR="00985F58" w:rsidRDefault="00B93DF7">
      <w:r>
        <w:t xml:space="preserve"> </w:t>
      </w:r>
      <w:r>
        <w:rPr>
          <w:noProof/>
        </w:rPr>
        <w:drawing>
          <wp:inline distT="114300" distB="114300" distL="114300" distR="114300" wp14:anchorId="16389EBB" wp14:editId="152E2016">
            <wp:extent cx="1841492" cy="289292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492" cy="289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E8035" w14:textId="77777777" w:rsidR="00985F58" w:rsidRDefault="00985F58"/>
    <w:sectPr w:rsidR="00985F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5F58"/>
    <w:rsid w:val="00985F58"/>
    <w:rsid w:val="00B9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74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3936</Characters>
  <Application>Microsoft Macintosh Word</Application>
  <DocSecurity>0</DocSecurity>
  <Lines>32</Lines>
  <Paragraphs>9</Paragraphs>
  <ScaleCrop>false</ScaleCrop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Kristen Zung</cp:lastModifiedBy>
  <cp:revision>2</cp:revision>
  <dcterms:created xsi:type="dcterms:W3CDTF">2016-10-25T17:28:00Z</dcterms:created>
  <dcterms:modified xsi:type="dcterms:W3CDTF">2016-10-25T17:28:00Z</dcterms:modified>
</cp:coreProperties>
</file>