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Why would you have to infer a theme?</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Ben and Christina say to look at the evidence. What kinds of evidence do they mention?</w:t>
            </w:r>
          </w:p>
          <w:p w:rsidR="00000000" w:rsidDel="00000000" w:rsidP="00000000" w:rsidRDefault="00000000" w:rsidRPr="00000000" w14:paraId="0000000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2">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How do you understand how a theme develops?</w:t>
            </w:r>
          </w:p>
          <w:p w:rsidR="00000000" w:rsidDel="00000000" w:rsidP="00000000" w:rsidRDefault="00000000" w:rsidRPr="00000000" w14:paraId="00000013">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8">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b w:val="1"/>
        <w:bCs w:val="1"/>
        <w:u w:val="single"/>
      </w:rPr>
    </w:pPr>
    <w:r w:rsidDel="00000000" w:rsidR="00000000" w:rsidRPr="00000000">
      <w:rPr>
        <w:rtl w:val="0"/>
      </w:rPr>
      <w:t xml:space="preserve">Animal Farm 🐷🏠🐴 🔱Skill | Skill: Theme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