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Define “Story Structure.”</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A">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Define each term or idea on the right.</w:t>
            </w:r>
          </w:p>
          <w:p w:rsidR="00000000" w:rsidDel="00000000" w:rsidP="00000000" w:rsidRDefault="00000000" w:rsidRPr="00000000" w14:paraId="0000000B">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under the “Define” tab (Concept Definitions Video). Click the transcript icon in the lower right-hand side of the video to open the transcript.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Bridge: first step:</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Bridge: highest point:</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Bridge: reaches the other side:</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Trigger:</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a few ways writers can manipulate time?</w:t>
            </w:r>
          </w:p>
          <w:p w:rsidR="00000000" w:rsidDel="00000000" w:rsidP="00000000" w:rsidRDefault="00000000" w:rsidRPr="00000000" w14:paraId="0000001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“Model” tab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9">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Fonts w:ascii="Calibri" w:cs="Calibri" w:eastAsia="Calibri" w:hAnsi="Calibri"/>
                <w:rtl w:val="0"/>
              </w:rPr>
              <w:t xml:space="preserv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C">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u w:val="single"/>
            </w:rPr>
          </w:pPr>
          <w:r w:rsidDel="00000000" w:rsidR="00000000" w:rsidRPr="00000000">
            <w:rPr>
              <w:rtl w:val="0"/>
            </w:rPr>
            <w:t xml:space="preserve">Hotel Rwanda🏨🆘 🔱Skill | Story Structure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