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Define “Tone.”</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can an author’s tone convey?</w:t>
            </w:r>
          </w:p>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authors convey tone?</w:t>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2">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is tone communicated?</w:t>
            </w:r>
          </w:p>
          <w:p w:rsidR="00000000" w:rsidDel="00000000" w:rsidP="00000000" w:rsidRDefault="00000000" w:rsidRPr="00000000" w14:paraId="00000013">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are some useful ways to determine an author’s tone in a memoir? </w:t>
            </w:r>
          </w:p>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E">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u w:val="single"/>
            </w:rPr>
          </w:pPr>
          <w:r w:rsidDel="00000000" w:rsidR="00000000" w:rsidRPr="00000000">
            <w:rPr>
              <w:rtl w:val="0"/>
            </w:rPr>
            <w:t xml:space="preserve">Night✡️🌃 | 🔱Skill | Tone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2">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