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 2-3 complete sentences.</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your reaction to Moché the Beadle? What do you think about his treatment by the villagers after his return from Poland?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A">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C">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Wiesel’s community at the beginning of the story. How does young Elie view the world and his place in it?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some incidents that suggest or foreshadow the coming danger to the Sighet</w:t>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Jews? Why doesn’t the community believe it is in danger?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the conditions on the Jews’ train journey? How do the Jews react to Madame</w:t>
            </w:r>
          </w:p>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Schäcter’s behavior? What does this reveal about human nature?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connection might there be between Madame Schäcter’s treatment on the train and</w:t>
            </w:r>
          </w:p>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possible future events in the concentration camp? What are some other ways that Wiesel</w:t>
            </w:r>
          </w:p>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foreshadows, or hints at, the horrors ahead?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though it was 1944, and Nazi extermination of Jews had begun years earlier, the Sighet Jews had very few facts about it. Do you think it is possible in today’s world for a community to know so little, to be so unprepared? Explain.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F">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an adult, Wiesel notes throughout the early chapters of his memoir that the Sighet Jews did not, or would not, believe the fate that lay in store for them. Suppose they had possessed the knowledge we now have of Hitler’s goals and methods. What different choices might they have made? Develop plans community leaders might have made to save the Jews. Consider various resistance and flight options.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tc>
      </w:tr>
    </w:tbl>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