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Instructions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Step 1: Fill out the Mad Libs Google Doc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You will find a list of different sensory categories (things you can smell, taste, touch, see, or hear).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 each box, type an example for that sense (like "rotten eggs" for something you can smell).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Be creative, but remember to keep everything school-appropriate!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After filling in the boxes, do NOT place your words into the story just yet! You’ll be reading the story aloud with your partner in the next step.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Step 2: Share Your Story with a Partner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You will pair up with your desk partner. 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One partner will read the story aloud, pausing when they come to a blank space.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The other partner will fill in the blank by reading out the words they wrote in their sensory categories.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Take turns so both of you can share your stories!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Enjoy your spooky, silly stories! 👻🎉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0" w:before="0" w:lin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975"/>
      <w:gridCol w:w="2985"/>
      <w:tblGridChange w:id="0">
        <w:tblGrid>
          <w:gridCol w:w="9975"/>
          <w:gridCol w:w="298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  <w:rtl w:val="0"/>
            </w:rPr>
            <w:t xml:space="preserve">🎃Halloween Mad Libs | Sensory Language Activity🎃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