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B18F"/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Observation Journals (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8"/>
          <w:szCs w:val="28"/>
          <w:rtl w:val="0"/>
        </w:rPr>
        <w:t xml:space="preserve">Of Mice and Men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6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4935"/>
        <w:gridCol w:w="4935"/>
        <w:gridCol w:w="4935"/>
        <w:gridCol w:w="4935"/>
        <w:gridCol w:w="4935"/>
        <w:tblGridChange w:id="0">
          <w:tblGrid>
            <w:gridCol w:w="1830"/>
            <w:gridCol w:w="4935"/>
            <w:gridCol w:w="4935"/>
            <w:gridCol w:w="4935"/>
            <w:gridCol w:w="4935"/>
            <w:gridCol w:w="49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Type of Discrimination</w:t>
            </w:r>
          </w:p>
        </w:tc>
      </w:tr>
      <w:tr>
        <w:trPr>
          <w:cantSplit w:val="0"/>
          <w:tblHeader w:val="0"/>
        </w:trPr>
        <w:tc>
          <w:tcPr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Character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discrimination on the basis of race, ethnicity, color, or national origin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discrimination on the basis of sex, which includes sexual orientation, gender identity or expression, pregnancy or pregnancy-related condition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discrimination on the basis of disability or ability (based on the physical ability of their body)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discrimination on the basis of social class (based on belonging to (or being perceived as belonging to) a particular social class (often based on the perception of wealth, education, appearance, accent, or job))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discrimination on the basis of something other than the four types listed to the left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8"/>
                <w:szCs w:val="28"/>
                <w:rtl w:val="0"/>
              </w:rPr>
              <w:t xml:space="preserve">optional</w:t>
            </w: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Narrator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 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George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 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Lennie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Curley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Curley's Wife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Slim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Crooks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.144531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Carlson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.14453125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Candy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1. Example: “___________” (Steinbeck __)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Fonts w:ascii="Georgia" w:cs="Georgia" w:eastAsia="Georgia" w:hAnsi="Georgia"/>
                <w:sz w:val="28"/>
                <w:szCs w:val="28"/>
                <w:rtl w:val="0"/>
              </w:rPr>
              <w:t xml:space="preserve">2. Analysis: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