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ltur92cuf0np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I: The Hero’s Journey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The Hero’s Journey is a universal storytelling pattern where a character leaves their familiar world to face a great challenge and returns home transformed. Reflect on how Hiro moves through the first stages of the journey.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0" w:before="0" w:lineRule="auto"/>
        <w:rPr>
          <w:rFonts w:ascii="Georgia" w:cs="Georgia" w:eastAsia="Georgia" w:hAnsi="Georgia"/>
          <w:color w:val="1f1f1f"/>
          <w:sz w:val="22"/>
          <w:szCs w:val="22"/>
        </w:rPr>
      </w:pPr>
      <w:bookmarkStart w:colFirst="0" w:colLast="0" w:name="_bs8dp5a2gzu9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465"/>
        <w:gridCol w:w="3825"/>
        <w:tblGridChange w:id="0">
          <w:tblGrid>
            <w:gridCol w:w="2040"/>
            <w:gridCol w:w="3465"/>
            <w:gridCol w:w="3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4"/>
              <w:keepNext w:val="0"/>
              <w:keepLines w:val="0"/>
              <w:spacing w:after="0" w:before="0" w:lineRule="auto"/>
              <w:jc w:val="center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4"/>
              <w:keepNext w:val="0"/>
              <w:keepLines w:val="0"/>
              <w:spacing w:after="0" w:before="0" w:lineRule="auto"/>
              <w:jc w:val="center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What happens in the movie?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keepNext w:val="0"/>
              <w:keepLines w:val="0"/>
              <w:spacing w:after="0" w:before="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Finish the sentence with relevant information from the movie.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The Ordinary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Hiro is wasting his potential. We see this when he...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The Call to Adventure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Hiro visits the "Nerd Lab" and decides he wants to...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Refusal of the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After the fire, Hiro refuses to go to school or leave his room. He feels...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bs8dp5a2gzu9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Crossing the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3f3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0" w:before="0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rb30zobbtw03" w:id="2"/>
            <w:bookmarkEnd w:id="2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Hiro leaves his "safe zone" (his room) to follow the microbot to the...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rFonts w:ascii="Georgia" w:cs="Georgia" w:eastAsia="Georgia" w:hAnsi="Georgia"/>
                <w:color w:val="1f1f1f"/>
              </w:rPr>
            </w:pPr>
            <w:bookmarkStart w:colFirst="0" w:colLast="0" w:name="_whrwy3nrd3l5" w:id="3"/>
            <w:bookmarkEnd w:id="3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Part II: Character &amp;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Georgia" w:cs="Georgia" w:eastAsia="Georgia" w:hAnsi="Georgia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rtl w:val="0"/>
              </w:rPr>
              <w:t xml:space="preserve">Now that we have mapped the plot, let's look past the action to analyze the characters' emotions and the story's deeper messages.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1f1f"/>
                <w:rtl w:val="0"/>
              </w:rPr>
              <w:t xml:space="preserve"> These responses should be 2-3 well-developed sentences in length.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 The Mentor’s Lesson: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When Hiro is stuck on his project, Tadashi shakes him upside down and tells him to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"Look for a new angle."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Question: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How does looking at a problem from a different "angle" help Hiro solve his Microbot problem? How might this advice help him later in life?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2. Visualizing Grief: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After the funeral, the movie shows a montage of Hiro in his room. The filmmakers use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visuals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rather than words to show he is depressed.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Question: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List two visual details from his room or his behavior that show he is grieving. (Is his room clean? Is he eating?)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3. Baymax vs. Hiro: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Baymax is programmed to be non-violent and hugging. Hiro is currently angry and aggressive (bot fighting).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Prediction: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How do you think these two opposite personalities will clash in the next section of the movie?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1f1f"/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Georgia" w:cs="Georgia" w:eastAsia="Georgia" w:hAnsi="Georgia"/>
                <w:color w:val="1f1f1f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890"/>
      <w:gridCol w:w="1470"/>
      <w:tblGridChange w:id="0">
        <w:tblGrid>
          <w:gridCol w:w="7890"/>
          <w:gridCol w:w="147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Big Hero 6🤖🩺⚕️ 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P1: The Call and The Grief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