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w:anchor="_nyc7ruhgdxms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stkwgasek6t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xbr5m0fxptip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5rbwhca8fqen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 for CER Format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ibyfccc9ypna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Hints 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c7ruhgdxms" w:id="0"/>
      <w:bookmarkEnd w:id="0"/>
      <w:r w:rsidDel="00000000" w:rsidR="00000000" w:rsidRPr="00000000">
        <w:rPr>
          <w:rtl w:val="0"/>
        </w:rPr>
        <w:t xml:space="preserve">Activity 1: Watch and Notice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The 1960s in America: Crash Course US History #40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The 19th Amendment | History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The Story of an Hour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1960s included many movements for equality and change. Choose one movement from the video and explain how it challenged unfair limits placed on people.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right did the 19th Amendment protect, and why was it important?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does Mrs. Mallard seem to realize about her life after hearing her husband has died?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6gs7uh9b30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7stkwgasek6t" w:id="2"/>
      <w:bookmarkEnd w:id="2"/>
      <w:r w:rsidDel="00000000" w:rsidR="00000000" w:rsidRPr="00000000">
        <w:rPr>
          <w:rtl w:val="0"/>
        </w:rPr>
        <w:t xml:space="preserve">Activity 2: Connect to the Story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“The Story of an Hour,”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Mrs. Mallard repeats the word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“free”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and later thinks about being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“body and soul free.”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The story also says she imagines future years that would “belong to her absolutely.” As you listen to the audio and/or read the text. You may: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What kind of freedom does Mrs. Mallard want?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How is her desire for freedom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 similar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 to the goals of the women’s suffrage movement?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How is her desire for freedom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different from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 the goals of the women’s suffrage movement?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Georgia" w:cs="Georgia" w:eastAsia="Georgia" w:hAnsi="Georgia"/>
        </w:rPr>
      </w:pPr>
      <w:bookmarkStart w:colFirst="0" w:colLast="0" w:name="_xbr5m0fxptip" w:id="3"/>
      <w:bookmarkEnd w:id="3"/>
      <w:r w:rsidDel="00000000" w:rsidR="00000000" w:rsidRPr="00000000">
        <w:rPr>
          <w:rtl w:val="0"/>
        </w:rPr>
        <w:t xml:space="preserve">Activity 3: Short CER Response</w:t>
      </w:r>
      <w:r w:rsidDel="00000000" w:rsidR="00000000" w:rsidRPr="00000000">
        <w:rPr>
          <w:rtl w:val="0"/>
        </w:rPr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495"/>
        <w:tblGridChange w:id="0">
          <w:tblGrid>
            <w:gridCol w:w="1275"/>
            <w:gridCol w:w="9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How does “The Story of an Hour” connect to the larger struggle for women’s rights in American history?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bookmarkStart w:colFirst="0" w:colLast="0" w:name="_5rbwhca8fqen" w:id="4"/>
            <w:bookmarkEnd w:id="4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 for CER Format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green"/>
                <w:rtl w:val="0"/>
              </w:rPr>
              <w:t xml:space="preserve">C: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E: Textual Evidence / Data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cyan"/>
                <w:rtl w:val="0"/>
              </w:rPr>
              <w:t xml:space="preserve">R: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widowControl w:val="0"/>
              <w:rPr>
                <w:rFonts w:ascii="Georgia" w:cs="Georgia" w:eastAsia="Georgia" w:hAnsi="Georgia"/>
              </w:rPr>
            </w:pPr>
            <w:bookmarkStart w:colFirst="0" w:colLast="0" w:name="_ibyfccc9ypna" w:id="5"/>
            <w:bookmarkEnd w:id="5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Hints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this format: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Claim: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The story connects to women’s rights because…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Evidence: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One example from the story is…</w:t>
              <w:br w:type="textWrapping"/>
              <w:t xml:space="preserve"> One example from the videos is…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Reasoning: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This shows…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8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  <w:u w:val="single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Freedom, Voice, and Rights | Activities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