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2">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4">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“Character.”</w:t>
            </w:r>
          </w:p>
          <w:p w:rsidR="00000000" w:rsidDel="00000000" w:rsidP="00000000" w:rsidRDefault="00000000" w:rsidRPr="00000000" w14:paraId="00000008">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at the text and in the video transcription under the “</w:t>
            </w:r>
            <w:hyperlink r:id="rId6">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Character means </w:t>
            </w:r>
            <w:r w:rsidDel="00000000" w:rsidR="00000000" w:rsidRPr="00000000">
              <w:rPr>
                <w:rFonts w:ascii="Calibri" w:cs="Calibri" w:eastAsia="Calibri" w:hAnsi="Calibri"/>
                <w:highlight w:val="yellow"/>
                <w:rtl w:val="0"/>
              </w:rPr>
              <w:t xml:space="preserve">. . . </w:t>
            </w: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“Trait” as it applies to characters.</w:t>
            </w:r>
          </w:p>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at the text and in the video transcription under the “</w:t>
            </w:r>
            <w:hyperlink r:id="rId7">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Character trait means </w:t>
            </w:r>
            <w:r w:rsidDel="00000000" w:rsidR="00000000" w:rsidRPr="00000000">
              <w:rPr>
                <w:rFonts w:ascii="Calibri" w:cs="Calibri" w:eastAsia="Calibri" w:hAnsi="Calibri"/>
                <w:highlight w:val="yellow"/>
                <w:rtl w:val="0"/>
              </w:rPr>
              <w:t xml:space="preserve">. . . </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1">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purpose do characters serve?</w:t>
            </w:r>
          </w:p>
          <w:p w:rsidR="00000000" w:rsidDel="00000000" w:rsidP="00000000" w:rsidRDefault="00000000" w:rsidRPr="00000000" w14:paraId="00000012">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at the text and in the video transcription under the “</w:t>
            </w:r>
            <w:hyperlink r:id="rId8">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Purposes characters serve:</w:t>
            </w:r>
          </w:p>
          <w:p w:rsidR="00000000" w:rsidDel="00000000" w:rsidP="00000000" w:rsidRDefault="00000000" w:rsidRPr="00000000" w14:paraId="00000015">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16">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9">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do authors construct characters?</w:t>
            </w:r>
          </w:p>
          <w:p w:rsidR="00000000" w:rsidDel="00000000" w:rsidP="00000000" w:rsidRDefault="00000000" w:rsidRPr="00000000" w14:paraId="0000001A">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at the text and in the video transcription under the “</w:t>
            </w:r>
            <w:hyperlink r:id="rId9">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Ways authors construct characters:</w:t>
            </w:r>
          </w:p>
          <w:p w:rsidR="00000000" w:rsidDel="00000000" w:rsidP="00000000" w:rsidRDefault="00000000" w:rsidRPr="00000000" w14:paraId="0000001D">
            <w:pPr>
              <w:widowControl w:val="0"/>
              <w:numPr>
                <w:ilvl w:val="0"/>
                <w:numId w:val="2"/>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1E">
            <w:pPr>
              <w:widowControl w:val="0"/>
              <w:numPr>
                <w:ilvl w:val="0"/>
                <w:numId w:val="2"/>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1F">
            <w:pPr>
              <w:widowControl w:val="0"/>
              <w:numPr>
                <w:ilvl w:val="0"/>
                <w:numId w:val="2"/>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465"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1">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some different types of characters?</w:t>
            </w:r>
          </w:p>
          <w:p w:rsidR="00000000" w:rsidDel="00000000" w:rsidP="00000000" w:rsidRDefault="00000000" w:rsidRPr="00000000" w14:paraId="00000022">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at the text under the “</w:t>
            </w:r>
            <w:hyperlink r:id="rId10">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The main character in a story or play is called </w:t>
            </w:r>
            <w:r w:rsidDel="00000000" w:rsidR="00000000" w:rsidRPr="00000000">
              <w:rPr>
                <w:rFonts w:ascii="Calibri" w:cs="Calibri" w:eastAsia="Calibri" w:hAnsi="Calibri"/>
                <w:highlight w:val="yellow"/>
                <w:rtl w:val="0"/>
              </w:rPr>
              <w:t xml:space="preserve">_____</w:t>
            </w:r>
          </w:p>
          <w:p w:rsidR="00000000" w:rsidDel="00000000" w:rsidP="00000000" w:rsidRDefault="00000000" w:rsidRPr="00000000" w14:paraId="000000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The person working against the main character is called </w:t>
            </w:r>
            <w:r w:rsidDel="00000000" w:rsidR="00000000" w:rsidRPr="00000000">
              <w:rPr>
                <w:rFonts w:ascii="Calibri" w:cs="Calibri" w:eastAsia="Calibri" w:hAnsi="Calibri"/>
                <w:highlight w:val="yellow"/>
                <w:rtl w:val="0"/>
              </w:rPr>
              <w:t xml:space="preserve">_____</w:t>
            </w:r>
            <w:r w:rsidDel="00000000" w:rsidR="00000000" w:rsidRPr="00000000">
              <w:rPr>
                <w:rFonts w:ascii="Calibri" w:cs="Calibri" w:eastAsia="Calibri" w:hAnsi="Calibri"/>
                <w:rtl w:val="0"/>
              </w:rPr>
              <w:t xml:space="preserve"> </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highlight w:val="yellow"/>
                <w:rtl w:val="0"/>
              </w:rPr>
              <w:t xml:space="preserve">_____</w:t>
            </w:r>
            <w:r w:rsidDel="00000000" w:rsidR="00000000" w:rsidRPr="00000000">
              <w:rPr>
                <w:rFonts w:ascii="Calibri" w:cs="Calibri" w:eastAsia="Calibri" w:hAnsi="Calibri"/>
                <w:rtl w:val="0"/>
              </w:rPr>
              <w:t xml:space="preserve"> provide support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9">
            <w:pPr>
              <w:pageBreakBefore w:val="0"/>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How can you identify a protagonist? An antagonist?</w:t>
            </w:r>
          </w:p>
          <w:p w:rsidR="00000000" w:rsidDel="00000000" w:rsidP="00000000" w:rsidRDefault="00000000" w:rsidRPr="00000000" w14:paraId="0000002A">
            <w:pPr>
              <w:pageBreakBefore w:val="0"/>
              <w:widowControl w:val="0"/>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11">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 in the “</w:t>
            </w:r>
            <w:r w:rsidDel="00000000" w:rsidR="00000000" w:rsidRPr="00000000">
              <w:rPr>
                <w:rFonts w:ascii="Calibri" w:cs="Calibri" w:eastAsia="Calibri" w:hAnsi="Calibri"/>
                <w:i w:val="1"/>
                <w:iCs w:val="1"/>
                <w:rtl w:val="0"/>
              </w:rPr>
              <w:t xml:space="preserve">Identification and Application</w:t>
            </w:r>
            <w:r w:rsidDel="00000000" w:rsidR="00000000" w:rsidRPr="00000000">
              <w:rPr>
                <w:rFonts w:ascii="Calibri" w:cs="Calibri" w:eastAsia="Calibri" w:hAnsi="Calibri"/>
                <w:i w:val="1"/>
                <w:iCs w:val="1"/>
                <w:rtl w:val="0"/>
              </w:rPr>
              <w:t xml:space="preserve">” section.</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Ways to identify a protagonist:</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Ways to identify an antagonist:</w:t>
            </w:r>
          </w:p>
          <w:p w:rsidR="00000000" w:rsidDel="00000000" w:rsidP="00000000" w:rsidRDefault="00000000" w:rsidRPr="00000000" w14:paraId="00000032">
            <w:pPr>
              <w:widowControl w:val="0"/>
              <w:numPr>
                <w:ilvl w:val="0"/>
                <w:numId w:val="5"/>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33">
            <w:pPr>
              <w:widowControl w:val="0"/>
              <w:numPr>
                <w:ilvl w:val="0"/>
                <w:numId w:val="5"/>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34">
            <w:pPr>
              <w:widowControl w:val="0"/>
              <w:numPr>
                <w:ilvl w:val="0"/>
                <w:numId w:val="5"/>
              </w:numPr>
              <w:spacing w:line="240" w:lineRule="auto"/>
              <w:ind w:left="720" w:hanging="360"/>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35">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36">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12">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 in the “Model” section.</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highlight w:val="yellow"/>
              </w:rPr>
            </w:pPr>
            <w:r w:rsidDel="00000000" w:rsidR="00000000" w:rsidRPr="00000000">
              <w:rPr>
                <w:rFonts w:ascii="Calibri" w:cs="Calibri" w:eastAsia="Calibri" w:hAnsi="Calibri"/>
                <w:rtl w:val="0"/>
              </w:rPr>
              <w:t xml:space="preserve">One positive attribute of the model essay is that </w:t>
            </w:r>
            <w:r w:rsidDel="00000000" w:rsidR="00000000" w:rsidRPr="00000000">
              <w:rPr>
                <w:rFonts w:ascii="Calibri" w:cs="Calibri" w:eastAsia="Calibri" w:hAnsi="Calibri"/>
                <w:highlight w:val="yellow"/>
                <w:rtl w:val="0"/>
              </w:rPr>
              <w:t xml:space="preserve">. .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highlight w:val="yellow"/>
              </w:rPr>
            </w:pPr>
            <w:r w:rsidDel="00000000" w:rsidR="00000000" w:rsidRPr="00000000">
              <w:rPr>
                <w:rFonts w:ascii="Calibri" w:cs="Calibri" w:eastAsia="Calibri" w:hAnsi="Calibri"/>
                <w:rtl w:val="0"/>
              </w:rPr>
              <w:t xml:space="preserve">One suggestion for improvement I might give to the author is </w:t>
            </w:r>
            <w:r w:rsidDel="00000000" w:rsidR="00000000" w:rsidRPr="00000000">
              <w:rPr>
                <w:rFonts w:ascii="Calibri" w:cs="Calibri" w:eastAsia="Calibri" w:hAnsi="Calibri"/>
                <w:highlight w:val="yellow"/>
                <w:rtl w:val="0"/>
              </w:rPr>
              <w:t xml:space="preserve">. . .</w:t>
            </w:r>
          </w:p>
        </w:tc>
      </w:tr>
    </w:tbl>
    <w:p w:rsidR="00000000" w:rsidDel="00000000" w:rsidP="00000000" w:rsidRDefault="00000000" w:rsidRPr="00000000" w14:paraId="0000003B">
      <w:pPr>
        <w:pageBreakBefore w:val="0"/>
        <w:rPr>
          <w:rFonts w:ascii="Calibri" w:cs="Calibri" w:eastAsia="Calibri" w:hAnsi="Calibri"/>
        </w:rPr>
      </w:pPr>
      <w:r w:rsidDel="00000000" w:rsidR="00000000" w:rsidRPr="00000000">
        <w:rPr>
          <w:rtl w:val="0"/>
        </w:rPr>
      </w:r>
    </w:p>
    <w:sectPr>
      <w:headerReference r:id="rId13"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jc w:val="center"/>
      <w:rPr>
        <w:b w:val="1"/>
        <w:bCs w:val="1"/>
        <w:u w:val="single"/>
      </w:rPr>
    </w:pPr>
    <w:r w:rsidDel="00000000" w:rsidR="00000000" w:rsidRPr="00000000">
      <w:rPr>
        <w:b w:val="1"/>
        <w:bCs w:val="1"/>
        <w:u w:val="single"/>
        <w:rtl w:val="0"/>
      </w:rPr>
      <w:t xml:space="preserve">Marigolds </w:t>
    </w:r>
    <w:r w:rsidDel="00000000" w:rsidR="00000000" w:rsidRPr="00000000">
      <w:rPr>
        <w:b w:val="1"/>
        <w:bCs w:val="1"/>
        <w:u w:val="single"/>
        <w:rtl w:val="0"/>
      </w:rPr>
      <w:t xml:space="preserve">(9.U1)</w:t>
    </w:r>
  </w:p>
  <w:p w:rsidR="00000000" w:rsidDel="00000000" w:rsidP="00000000" w:rsidRDefault="00000000" w:rsidRPr="00000000" w14:paraId="0000003D">
    <w:pPr>
      <w:pageBreakBefore w:val="0"/>
      <w:jc w:val="center"/>
      <w:rPr>
        <w:b w:val="1"/>
        <w:bCs w:val="1"/>
      </w:rPr>
    </w:pPr>
    <w:r w:rsidDel="00000000" w:rsidR="00000000" w:rsidRPr="00000000">
      <w:rPr>
        <w:b w:val="1"/>
        <w:bCs w:val="1"/>
        <w:rtl w:val="0"/>
      </w:rPr>
      <w:t xml:space="preserve">Skill: Character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gICEuylTdXTarqVeYkrHcRi_5mTBiZnD/view?usp=sharing" TargetMode="External"/><Relationship Id="rId10" Type="http://schemas.openxmlformats.org/officeDocument/2006/relationships/hyperlink" Target="https://drive.google.com/file/d/1gICEuylTdXTarqVeYkrHcRi_5mTBiZnD/view?usp=sharing" TargetMode="External"/><Relationship Id="rId13" Type="http://schemas.openxmlformats.org/officeDocument/2006/relationships/header" Target="header1.xml"/><Relationship Id="rId12" Type="http://schemas.openxmlformats.org/officeDocument/2006/relationships/hyperlink" Target="https://drive.google.com/file/d/1gICEuylTdXTarqVeYkrHcRi_5mTBiZnD/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gICEuylTdXTarqVeYkrHcRi_5mTBiZnD/view?usp=sharing" TargetMode="External"/><Relationship Id="rId5" Type="http://schemas.openxmlformats.org/officeDocument/2006/relationships/styles" Target="styles.xml"/><Relationship Id="rId6" Type="http://schemas.openxmlformats.org/officeDocument/2006/relationships/hyperlink" Target="https://drive.google.com/file/d/1gICEuylTdXTarqVeYkrHcRi_5mTBiZnD/view?usp=sharing" TargetMode="External"/><Relationship Id="rId7" Type="http://schemas.openxmlformats.org/officeDocument/2006/relationships/hyperlink" Target="https://drive.google.com/file/d/1gICEuylTdXTarqVeYkrHcRi_5mTBiZnD/view?usp=sharing" TargetMode="External"/><Relationship Id="rId8" Type="http://schemas.openxmlformats.org/officeDocument/2006/relationships/hyperlink" Target="https://drive.google.com/file/d/1gICEuylTdXTarqVeYkrHcRi_5mTBiZnD/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